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55B95" w14:textId="623B4DF4" w:rsidR="00304ED3" w:rsidRPr="00304ED3" w:rsidRDefault="006C47D6" w:rsidP="006C47D6">
      <w:pPr>
        <w:pStyle w:val="21-ResumeFR"/>
        <w:jc w:val="center"/>
        <w:rPr>
          <w:rStyle w:val="03-Gras"/>
          <w:rFonts w:ascii="Times New Roman" w:hAnsi="Times New Roman" w:cs="Times New Roman"/>
          <w:sz w:val="36"/>
        </w:rPr>
      </w:pPr>
      <w:r>
        <w:rPr>
          <w:rFonts w:ascii="Times New Roman" w:hAnsi="Times New Roman" w:cs="Times New Roman"/>
          <w:b/>
          <w:bCs/>
          <w:noProof/>
          <w:sz w:val="36"/>
          <w:lang w:eastAsia="fr-FR"/>
        </w:rPr>
        <w:drawing>
          <wp:anchor distT="0" distB="0" distL="114300" distR="114300" simplePos="0" relativeHeight="251658240" behindDoc="0" locked="0" layoutInCell="1" allowOverlap="1" wp14:anchorId="4ECF3814" wp14:editId="1EF8A948">
            <wp:simplePos x="2162810" y="902335"/>
            <wp:positionH relativeFrom="margin">
              <wp:align>left</wp:align>
            </wp:positionH>
            <wp:positionV relativeFrom="margin">
              <wp:align>top</wp:align>
            </wp:positionV>
            <wp:extent cx="1864360" cy="2636520"/>
            <wp:effectExtent l="171450" t="171450" r="383540" b="35433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E 148 Dyslexie Dysorthographies interve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64994" cy="2636969"/>
                    </a:xfrm>
                    <a:prstGeom prst="rect">
                      <a:avLst/>
                    </a:prstGeom>
                    <a:ln>
                      <a:noFill/>
                    </a:ln>
                    <a:effectLst>
                      <a:outerShdw blurRad="292100" dist="139700" dir="2700000" algn="tl" rotWithShape="0">
                        <a:srgbClr val="333333">
                          <a:alpha val="65000"/>
                        </a:srgbClr>
                      </a:outerShdw>
                    </a:effectLst>
                  </pic:spPr>
                </pic:pic>
              </a:graphicData>
            </a:graphic>
          </wp:anchor>
        </w:drawing>
      </w:r>
      <w:r w:rsidR="00304ED3" w:rsidRPr="00304ED3">
        <w:rPr>
          <w:rStyle w:val="03-Gras"/>
          <w:rFonts w:ascii="Times New Roman" w:hAnsi="Times New Roman" w:cs="Times New Roman"/>
          <w:sz w:val="36"/>
        </w:rPr>
        <w:t>ANAE N° 14</w:t>
      </w:r>
      <w:r w:rsidR="00D8482E">
        <w:rPr>
          <w:rStyle w:val="03-Gras"/>
          <w:rFonts w:ascii="Times New Roman" w:hAnsi="Times New Roman" w:cs="Times New Roman"/>
          <w:sz w:val="36"/>
        </w:rPr>
        <w:t>9</w:t>
      </w:r>
    </w:p>
    <w:p w14:paraId="6C476ABF" w14:textId="77777777" w:rsidR="00304ED3" w:rsidRDefault="00304ED3" w:rsidP="006C47D6">
      <w:pPr>
        <w:pStyle w:val="21-ResumeFR"/>
        <w:jc w:val="center"/>
        <w:rPr>
          <w:rStyle w:val="03-Gras"/>
          <w:rFonts w:ascii="Times New Roman" w:hAnsi="Times New Roman" w:cs="Times New Roman"/>
          <w:u w:val="single"/>
        </w:rPr>
      </w:pPr>
    </w:p>
    <w:p w14:paraId="78DD3EDC" w14:textId="4EDA85D7" w:rsidR="00304ED3" w:rsidRPr="00304ED3" w:rsidRDefault="00A23471" w:rsidP="006C47D6">
      <w:pPr>
        <w:pStyle w:val="21-ResumeFR"/>
        <w:jc w:val="center"/>
        <w:rPr>
          <w:rStyle w:val="03-Gras"/>
          <w:rFonts w:ascii="Times New Roman" w:hAnsi="Times New Roman" w:cs="Times New Roman"/>
          <w:sz w:val="28"/>
        </w:rPr>
      </w:pPr>
      <w:r>
        <w:rPr>
          <w:rStyle w:val="03-Gras"/>
          <w:rFonts w:ascii="Times New Roman" w:hAnsi="Times New Roman" w:cs="Times New Roman"/>
          <w:sz w:val="28"/>
        </w:rPr>
        <w:t>Mémoire(s) et Apprentissage</w:t>
      </w:r>
    </w:p>
    <w:p w14:paraId="07E5091C" w14:textId="77777777" w:rsidR="00304ED3" w:rsidRDefault="00304ED3" w:rsidP="006C47D6">
      <w:pPr>
        <w:pStyle w:val="21-ResumeFR"/>
        <w:jc w:val="center"/>
        <w:rPr>
          <w:rStyle w:val="03-Gras"/>
          <w:rFonts w:ascii="Times New Roman" w:hAnsi="Times New Roman" w:cs="Times New Roman"/>
          <w:u w:val="single"/>
        </w:rPr>
      </w:pPr>
    </w:p>
    <w:p w14:paraId="3129DD79" w14:textId="220244CC" w:rsidR="00F426B0" w:rsidRPr="00E0212D" w:rsidRDefault="00F426B0" w:rsidP="00F426B0">
      <w:pPr>
        <w:jc w:val="center"/>
        <w:rPr>
          <w:rFonts w:eastAsia="Calibri"/>
          <w:i/>
          <w:iCs/>
          <w:sz w:val="22"/>
          <w:szCs w:val="22"/>
        </w:rPr>
      </w:pPr>
      <w:r w:rsidRPr="00E0212D">
        <w:rPr>
          <w:rFonts w:eastAsia="Calibri"/>
          <w:i/>
          <w:iCs/>
          <w:sz w:val="22"/>
          <w:szCs w:val="22"/>
        </w:rPr>
        <w:t xml:space="preserve">Vol 29 – Tome </w:t>
      </w:r>
      <w:r>
        <w:rPr>
          <w:rFonts w:eastAsia="Calibri"/>
          <w:i/>
          <w:iCs/>
          <w:sz w:val="22"/>
          <w:szCs w:val="22"/>
        </w:rPr>
        <w:t>I</w:t>
      </w:r>
      <w:r w:rsidR="00A23471">
        <w:rPr>
          <w:rFonts w:eastAsia="Calibri"/>
          <w:i/>
          <w:iCs/>
          <w:sz w:val="22"/>
          <w:szCs w:val="22"/>
        </w:rPr>
        <w:t>V</w:t>
      </w:r>
      <w:r w:rsidRPr="00E0212D">
        <w:rPr>
          <w:rFonts w:eastAsia="Calibri"/>
          <w:i/>
          <w:iCs/>
          <w:sz w:val="22"/>
          <w:szCs w:val="22"/>
        </w:rPr>
        <w:t xml:space="preserve"> – année 2017</w:t>
      </w:r>
    </w:p>
    <w:p w14:paraId="2E224060" w14:textId="058FD914" w:rsidR="00F426B0" w:rsidRPr="00E0212D" w:rsidRDefault="00F426B0" w:rsidP="00F426B0">
      <w:pPr>
        <w:ind w:right="567"/>
        <w:rPr>
          <w:rFonts w:eastAsia="Calibri"/>
          <w:i/>
          <w:iCs/>
          <w:sz w:val="22"/>
          <w:szCs w:val="22"/>
        </w:rPr>
      </w:pPr>
      <w:r w:rsidRPr="00E0212D">
        <w:rPr>
          <w:rFonts w:eastAsia="Calibri"/>
          <w:i/>
          <w:iCs/>
          <w:sz w:val="22"/>
          <w:szCs w:val="22"/>
        </w:rPr>
        <w:t>                                 </w:t>
      </w:r>
      <w:r w:rsidR="00A23471">
        <w:rPr>
          <w:rFonts w:eastAsia="Calibri"/>
          <w:i/>
          <w:iCs/>
          <w:sz w:val="22"/>
          <w:szCs w:val="22"/>
        </w:rPr>
        <w:t xml:space="preserve">    </w:t>
      </w:r>
      <w:r>
        <w:rPr>
          <w:rFonts w:eastAsia="Calibri"/>
          <w:i/>
          <w:iCs/>
          <w:sz w:val="22"/>
          <w:szCs w:val="22"/>
        </w:rPr>
        <w:t>Novembre</w:t>
      </w:r>
      <w:r w:rsidRPr="00E0212D">
        <w:rPr>
          <w:rFonts w:eastAsia="Calibri"/>
          <w:i/>
          <w:iCs/>
          <w:sz w:val="22"/>
          <w:szCs w:val="22"/>
        </w:rPr>
        <w:t xml:space="preserve"> </w:t>
      </w:r>
      <w:r>
        <w:rPr>
          <w:rFonts w:eastAsia="Calibri"/>
          <w:i/>
          <w:iCs/>
          <w:sz w:val="22"/>
          <w:szCs w:val="22"/>
        </w:rPr>
        <w:t>2017</w:t>
      </w:r>
    </w:p>
    <w:p w14:paraId="62766032" w14:textId="77777777" w:rsidR="00F426B0" w:rsidRDefault="00F426B0" w:rsidP="006C47D6">
      <w:pPr>
        <w:pStyle w:val="21-ResumeFR"/>
        <w:jc w:val="center"/>
        <w:rPr>
          <w:rStyle w:val="03-Gras"/>
          <w:rFonts w:ascii="Times New Roman" w:hAnsi="Times New Roman" w:cs="Times New Roman"/>
          <w:u w:val="single"/>
        </w:rPr>
      </w:pPr>
    </w:p>
    <w:p w14:paraId="37D31419" w14:textId="77777777" w:rsidR="00A23471" w:rsidRPr="00A23471" w:rsidRDefault="00A23471" w:rsidP="00A23471">
      <w:pPr>
        <w:pStyle w:val="21-ResumeFR"/>
        <w:jc w:val="center"/>
        <w:rPr>
          <w:rFonts w:ascii="Times-Italic" w:hAnsi="Times-Italic" w:cs="Times-Italic"/>
          <w:i/>
          <w:iCs/>
          <w:color w:val="auto"/>
        </w:rPr>
      </w:pPr>
      <w:r w:rsidRPr="00A23471">
        <w:rPr>
          <w:rFonts w:ascii="Times-Italic" w:hAnsi="Times-Italic" w:cs="Times-Italic"/>
          <w:i/>
          <w:iCs/>
          <w:color w:val="auto"/>
        </w:rPr>
        <w:t xml:space="preserve">Dossier coordonné par Maëlle </w:t>
      </w:r>
      <w:proofErr w:type="spellStart"/>
      <w:r w:rsidRPr="00A23471">
        <w:rPr>
          <w:rFonts w:ascii="Times-Italic" w:hAnsi="Times-Italic" w:cs="Times-Italic"/>
          <w:i/>
          <w:iCs/>
          <w:color w:val="auto"/>
        </w:rPr>
        <w:t>Biotteau</w:t>
      </w:r>
      <w:proofErr w:type="spellEnd"/>
      <w:r w:rsidRPr="00A23471">
        <w:rPr>
          <w:rFonts w:ascii="Times-Italic" w:hAnsi="Times-Italic" w:cs="Times-Italic"/>
          <w:i/>
          <w:iCs/>
          <w:color w:val="auto"/>
        </w:rPr>
        <w:t>,</w:t>
      </w:r>
    </w:p>
    <w:p w14:paraId="731967C7" w14:textId="37B6CED6" w:rsidR="00304ED3" w:rsidRDefault="00A23471" w:rsidP="00A23471">
      <w:pPr>
        <w:pStyle w:val="21-ResumeFR"/>
        <w:jc w:val="center"/>
        <w:rPr>
          <w:rStyle w:val="03-Gras"/>
          <w:rFonts w:ascii="Times New Roman" w:hAnsi="Times New Roman" w:cs="Times New Roman"/>
          <w:u w:val="single"/>
        </w:rPr>
      </w:pPr>
      <w:r w:rsidRPr="00A23471">
        <w:rPr>
          <w:rFonts w:ascii="Times-Italic" w:hAnsi="Times-Italic" w:cs="Times-Italic"/>
          <w:i/>
          <w:iCs/>
          <w:color w:val="auto"/>
        </w:rPr>
        <w:t>Yves Chaix, Jean-Michel Albaret (Université de Toulouse)</w:t>
      </w:r>
    </w:p>
    <w:p w14:paraId="30AF3494" w14:textId="77777777" w:rsidR="00304ED3" w:rsidRDefault="00304ED3" w:rsidP="00F17A20">
      <w:pPr>
        <w:pStyle w:val="21-ResumeFR"/>
        <w:rPr>
          <w:rStyle w:val="03-Gras"/>
          <w:rFonts w:ascii="Times New Roman" w:hAnsi="Times New Roman" w:cs="Times New Roman"/>
          <w:u w:val="single"/>
        </w:rPr>
      </w:pPr>
    </w:p>
    <w:p w14:paraId="2F7C2840" w14:textId="7996B736" w:rsidR="00D8482E" w:rsidRDefault="003F3A32" w:rsidP="00D8482E">
      <w:pPr>
        <w:pStyle w:val="21-ResumeFR"/>
        <w:jc w:val="left"/>
        <w:rPr>
          <w:rFonts w:ascii="Arial" w:hAnsi="Arial" w:cs="Arial"/>
          <w:color w:val="auto"/>
          <w:szCs w:val="24"/>
          <w:lang w:eastAsia="fr-CA"/>
        </w:rPr>
      </w:pPr>
      <w:r>
        <w:rPr>
          <w:rFonts w:ascii="Arial" w:hAnsi="Arial" w:cs="Arial"/>
          <w:color w:val="auto"/>
          <w:szCs w:val="24"/>
          <w:lang w:eastAsia="fr-CA"/>
        </w:rPr>
        <w:t>Mémoire(s),</w:t>
      </w:r>
      <w:bookmarkStart w:id="0" w:name="_GoBack"/>
      <w:bookmarkEnd w:id="0"/>
      <w:r>
        <w:rPr>
          <w:rFonts w:ascii="Arial" w:hAnsi="Arial" w:cs="Arial"/>
          <w:color w:val="auto"/>
          <w:szCs w:val="24"/>
          <w:lang w:eastAsia="fr-CA"/>
        </w:rPr>
        <w:t xml:space="preserve"> e</w:t>
      </w:r>
      <w:r w:rsidR="00D8482E" w:rsidRPr="00D8482E">
        <w:rPr>
          <w:rFonts w:ascii="Arial" w:hAnsi="Arial" w:cs="Arial"/>
          <w:color w:val="auto"/>
          <w:szCs w:val="24"/>
          <w:lang w:eastAsia="fr-CA"/>
        </w:rPr>
        <w:t xml:space="preserve">n effet, si la mémoire est facilement citée au singulier, décrite simplement comme la fonction permettant d’enregistrer, de stocker et de restituer l’information, sa compréhension relève d’une tout autre complexité. Bien que la remise en question de sa singularité et l’émergence d’une conception des mémoires multiples apparaissent précocement et préfigurent les théories </w:t>
      </w:r>
      <w:proofErr w:type="spellStart"/>
      <w:r w:rsidR="00D8482E" w:rsidRPr="00D8482E">
        <w:rPr>
          <w:rFonts w:ascii="Arial" w:hAnsi="Arial" w:cs="Arial"/>
          <w:color w:val="auto"/>
          <w:szCs w:val="24"/>
          <w:lang w:eastAsia="fr-CA"/>
        </w:rPr>
        <w:t>multisystémiques</w:t>
      </w:r>
      <w:proofErr w:type="spellEnd"/>
      <w:r w:rsidR="00D8482E" w:rsidRPr="00D8482E">
        <w:rPr>
          <w:rFonts w:ascii="Arial" w:hAnsi="Arial" w:cs="Arial"/>
          <w:color w:val="auto"/>
          <w:szCs w:val="24"/>
          <w:lang w:eastAsia="fr-CA"/>
        </w:rPr>
        <w:t xml:space="preserve"> de la mémoire, leurs intrications, rôles et relations avec différents types d’apprentissage est de conception plus récente, et continue d’interroger la science d’aujourd’hui. </w:t>
      </w:r>
      <w:r w:rsidR="00D8482E" w:rsidRPr="00A23471">
        <w:rPr>
          <w:rFonts w:ascii="Arial" w:hAnsi="Arial" w:cs="Arial"/>
          <w:i/>
          <w:color w:val="auto"/>
          <w:szCs w:val="24"/>
          <w:lang w:eastAsia="fr-CA"/>
        </w:rPr>
        <w:t>Le 5e congrès de la SOFTAL</w:t>
      </w:r>
      <w:r w:rsidR="00D8482E" w:rsidRPr="00D8482E">
        <w:rPr>
          <w:rFonts w:ascii="Arial" w:hAnsi="Arial" w:cs="Arial"/>
          <w:color w:val="auto"/>
          <w:szCs w:val="24"/>
          <w:lang w:eastAsia="fr-CA"/>
        </w:rPr>
        <w:t xml:space="preserve"> a ainsi permis d’apporter des éclairages sur le lien existant entre les mémoires et l’apprentissage, notamment chez l’enfant porteur d’un trouble. Ce numéro d’A.N.A.E. qui y est associé reprend l’ensemble des conférences et communications qui ont été présentées.</w:t>
      </w:r>
    </w:p>
    <w:p w14:paraId="7B29B3B7" w14:textId="77777777" w:rsidR="00A23471" w:rsidRPr="00D8482E" w:rsidRDefault="00A23471" w:rsidP="00D8482E">
      <w:pPr>
        <w:pStyle w:val="21-ResumeFR"/>
        <w:jc w:val="left"/>
        <w:rPr>
          <w:rFonts w:ascii="Arial" w:hAnsi="Arial" w:cs="Arial"/>
          <w:color w:val="auto"/>
          <w:szCs w:val="24"/>
          <w:lang w:eastAsia="fr-CA"/>
        </w:rPr>
      </w:pPr>
    </w:p>
    <w:p w14:paraId="4920F68B" w14:textId="77777777" w:rsid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Nous commencerons par faire un point sur les 40 dernières années de modélisation de la mémoire déclarative. L’article </w:t>
      </w:r>
      <w:r w:rsidRPr="00A23471">
        <w:rPr>
          <w:rFonts w:ascii="Arial" w:hAnsi="Arial" w:cs="Arial"/>
          <w:b/>
          <w:color w:val="auto"/>
          <w:szCs w:val="24"/>
          <w:lang w:eastAsia="fr-CA"/>
        </w:rPr>
        <w:t>d’Emmanuel Barbeau</w:t>
      </w:r>
      <w:r w:rsidRPr="00D8482E">
        <w:rPr>
          <w:rFonts w:ascii="Arial" w:hAnsi="Arial" w:cs="Arial"/>
          <w:color w:val="auto"/>
          <w:szCs w:val="24"/>
          <w:lang w:eastAsia="fr-CA"/>
        </w:rPr>
        <w:t xml:space="preserve"> nous montre la manière dont cette notion a évolué au cours du temps, depuis les années 80 où la première occurrence du terme de « mémoire déclarative » a été proposée. Il y évoque notamment les trois phases distinctes identifiées dans cette évolution conceptuelle et l’importance de leur appréhension pour la prise en charge neuropsychologique des patients présentant des troubles de la mémoire.</w:t>
      </w:r>
    </w:p>
    <w:p w14:paraId="183F44EE" w14:textId="77777777" w:rsidR="00A23471" w:rsidRPr="00D8482E" w:rsidRDefault="00A23471" w:rsidP="00D8482E">
      <w:pPr>
        <w:pStyle w:val="21-ResumeFR"/>
        <w:jc w:val="left"/>
        <w:rPr>
          <w:rFonts w:ascii="Arial" w:hAnsi="Arial" w:cs="Arial"/>
          <w:color w:val="auto"/>
          <w:szCs w:val="24"/>
          <w:lang w:eastAsia="fr-CA"/>
        </w:rPr>
      </w:pPr>
    </w:p>
    <w:p w14:paraId="109EFD6D" w14:textId="77777777" w:rsidR="00D8482E" w:rsidRP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Un autre aspect crucial à prendre en compte dans la prise en charge, en particulier dans les troubles des apprentissages, est celui des déficits de la mémoire de travail. Ils sont abordés par </w:t>
      </w:r>
      <w:r w:rsidRPr="00A23471">
        <w:rPr>
          <w:rFonts w:ascii="Arial" w:hAnsi="Arial" w:cs="Arial"/>
          <w:b/>
          <w:color w:val="auto"/>
          <w:szCs w:val="24"/>
          <w:lang w:eastAsia="fr-CA"/>
        </w:rPr>
        <w:t xml:space="preserve">Steve </w:t>
      </w:r>
      <w:proofErr w:type="spellStart"/>
      <w:r w:rsidRPr="00A23471">
        <w:rPr>
          <w:rFonts w:ascii="Arial" w:hAnsi="Arial" w:cs="Arial"/>
          <w:b/>
          <w:color w:val="auto"/>
          <w:szCs w:val="24"/>
          <w:lang w:eastAsia="fr-CA"/>
        </w:rPr>
        <w:t>Majerus</w:t>
      </w:r>
      <w:proofErr w:type="spellEnd"/>
      <w:r w:rsidRPr="00D8482E">
        <w:rPr>
          <w:rFonts w:ascii="Arial" w:hAnsi="Arial" w:cs="Arial"/>
          <w:color w:val="auto"/>
          <w:szCs w:val="24"/>
          <w:lang w:eastAsia="fr-CA"/>
        </w:rPr>
        <w:t xml:space="preserve"> qui, compte tenu de leur hétérogénéité et de leur complexité, évoque l’importance du recours à des cadres théoriques précis pour la validité de l’évaluation ou de l’interprétation. Notamment, rappelant les trois mécanismes constitutifs de la mémoire de travail et les possibilités d’une altération sélective de l’un ou l’autre, son article permet de mettre en parallèle l’hétérogénéité des déficits de la mémoire de travail et l’hétérogénéité des troubles des apprentissages.</w:t>
      </w:r>
    </w:p>
    <w:p w14:paraId="744C6A56" w14:textId="77777777" w:rsidR="00A23471" w:rsidRDefault="00A23471" w:rsidP="00D8482E">
      <w:pPr>
        <w:pStyle w:val="21-ResumeFR"/>
        <w:jc w:val="left"/>
        <w:rPr>
          <w:rFonts w:ascii="Arial" w:hAnsi="Arial" w:cs="Arial"/>
          <w:color w:val="auto"/>
          <w:szCs w:val="24"/>
          <w:lang w:eastAsia="fr-CA"/>
        </w:rPr>
      </w:pPr>
    </w:p>
    <w:p w14:paraId="3E6D0AA6" w14:textId="77777777" w:rsidR="00D8482E" w:rsidRP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Ce propos se trouve fort bien illustré dans l’article suivant, où </w:t>
      </w:r>
      <w:r w:rsidRPr="00A23471">
        <w:rPr>
          <w:rFonts w:ascii="Arial" w:hAnsi="Arial" w:cs="Arial"/>
          <w:b/>
          <w:color w:val="auto"/>
          <w:szCs w:val="24"/>
          <w:lang w:eastAsia="fr-CA"/>
        </w:rPr>
        <w:t xml:space="preserve">Isabelle </w:t>
      </w:r>
      <w:proofErr w:type="spellStart"/>
      <w:r w:rsidRPr="00A23471">
        <w:rPr>
          <w:rFonts w:ascii="Arial" w:hAnsi="Arial" w:cs="Arial"/>
          <w:b/>
          <w:color w:val="auto"/>
          <w:szCs w:val="24"/>
          <w:lang w:eastAsia="fr-CA"/>
        </w:rPr>
        <w:t>Jambaqué</w:t>
      </w:r>
      <w:proofErr w:type="spellEnd"/>
      <w:r w:rsidRPr="00D8482E">
        <w:rPr>
          <w:rFonts w:ascii="Arial" w:hAnsi="Arial" w:cs="Arial"/>
          <w:color w:val="auto"/>
          <w:szCs w:val="24"/>
          <w:lang w:eastAsia="fr-CA"/>
        </w:rPr>
        <w:t xml:space="preserve"> nous montre ce que les différentes épilepsies (frontales, temporales, partielles idiopathiques) nous apprennent de l’étroite corrélation entre déficits mnésiques et trouble des apprentissages. Ce faisant, elle met l’accent sur l’importance, dans l’épilepsie infantile, de ne pas méconnaître les troubles mnésiques et les troubles des apprentissages et de systématiser leur évaluation.</w:t>
      </w:r>
    </w:p>
    <w:p w14:paraId="32985A35" w14:textId="77777777" w:rsidR="00A23471" w:rsidRDefault="00A23471" w:rsidP="00D8482E">
      <w:pPr>
        <w:pStyle w:val="21-ResumeFR"/>
        <w:jc w:val="left"/>
        <w:rPr>
          <w:rFonts w:ascii="Arial" w:hAnsi="Arial" w:cs="Arial"/>
          <w:color w:val="auto"/>
          <w:szCs w:val="24"/>
          <w:lang w:eastAsia="fr-CA"/>
        </w:rPr>
      </w:pPr>
    </w:p>
    <w:p w14:paraId="783E6A27" w14:textId="77777777" w:rsidR="00D8482E" w:rsidRDefault="00D8482E" w:rsidP="00D8482E">
      <w:pPr>
        <w:pStyle w:val="21-ResumeFR"/>
        <w:jc w:val="left"/>
        <w:rPr>
          <w:rFonts w:ascii="Arial" w:hAnsi="Arial" w:cs="Arial"/>
          <w:color w:val="auto"/>
          <w:szCs w:val="24"/>
          <w:lang w:eastAsia="fr-CA"/>
        </w:rPr>
      </w:pPr>
      <w:r w:rsidRPr="00A23471">
        <w:rPr>
          <w:rFonts w:ascii="Arial" w:hAnsi="Arial" w:cs="Arial"/>
          <w:b/>
          <w:color w:val="auto"/>
          <w:szCs w:val="24"/>
          <w:lang w:eastAsia="fr-CA"/>
        </w:rPr>
        <w:t xml:space="preserve">Patrice Gillet et Frédérique </w:t>
      </w:r>
      <w:proofErr w:type="spellStart"/>
      <w:r w:rsidRPr="00A23471">
        <w:rPr>
          <w:rFonts w:ascii="Arial" w:hAnsi="Arial" w:cs="Arial"/>
          <w:b/>
          <w:color w:val="auto"/>
          <w:szCs w:val="24"/>
          <w:lang w:eastAsia="fr-CA"/>
        </w:rPr>
        <w:t>Bonnet-Brilhault</w:t>
      </w:r>
      <w:proofErr w:type="spellEnd"/>
      <w:r w:rsidRPr="00D8482E">
        <w:rPr>
          <w:rFonts w:ascii="Arial" w:hAnsi="Arial" w:cs="Arial"/>
          <w:color w:val="auto"/>
          <w:szCs w:val="24"/>
          <w:lang w:eastAsia="fr-CA"/>
        </w:rPr>
        <w:t xml:space="preserve"> évoquent quant à eux le trouble du spectre de l’autisme. Les deux auteurs rappellent le rôle des mémoires sémantique et épisodique dans le développement précoce du langage chez le jeune enfant avec autisme. S’appuyant sur des données neuropsychologiques et neuroradiologiques, ils discutent notamment les liens respectifs que pourraient entretenir ces deux types de mémoire avec l’arrêt du développement du vocabulaire chez certains de ces enfants entre 18 et 24 mois.</w:t>
      </w:r>
    </w:p>
    <w:p w14:paraId="19C96B90" w14:textId="77777777" w:rsidR="00A23471" w:rsidRPr="00D8482E" w:rsidRDefault="00A23471" w:rsidP="00D8482E">
      <w:pPr>
        <w:pStyle w:val="21-ResumeFR"/>
        <w:jc w:val="left"/>
        <w:rPr>
          <w:rFonts w:ascii="Arial" w:hAnsi="Arial" w:cs="Arial"/>
          <w:color w:val="auto"/>
          <w:szCs w:val="24"/>
          <w:lang w:eastAsia="fr-CA"/>
        </w:rPr>
      </w:pPr>
    </w:p>
    <w:p w14:paraId="0D7B50EF" w14:textId="77777777" w:rsidR="00D8482E" w:rsidRP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En restant dans le champ des troubles neurodéveloppementaux, l’article de </w:t>
      </w:r>
      <w:r w:rsidRPr="00A23471">
        <w:rPr>
          <w:rFonts w:ascii="Arial" w:hAnsi="Arial" w:cs="Arial"/>
          <w:b/>
          <w:color w:val="auto"/>
          <w:szCs w:val="24"/>
          <w:lang w:eastAsia="fr-CA"/>
        </w:rPr>
        <w:t xml:space="preserve">Maëlle </w:t>
      </w:r>
      <w:proofErr w:type="spellStart"/>
      <w:r w:rsidRPr="00A23471">
        <w:rPr>
          <w:rFonts w:ascii="Arial" w:hAnsi="Arial" w:cs="Arial"/>
          <w:b/>
          <w:color w:val="auto"/>
          <w:szCs w:val="24"/>
          <w:lang w:eastAsia="fr-CA"/>
        </w:rPr>
        <w:t>Biotteau</w:t>
      </w:r>
      <w:proofErr w:type="spellEnd"/>
      <w:r w:rsidRPr="00A23471">
        <w:rPr>
          <w:rFonts w:ascii="Arial" w:hAnsi="Arial" w:cs="Arial"/>
          <w:b/>
          <w:color w:val="auto"/>
          <w:szCs w:val="24"/>
          <w:lang w:eastAsia="fr-CA"/>
        </w:rPr>
        <w:t xml:space="preserve"> et </w:t>
      </w:r>
      <w:proofErr w:type="spellStart"/>
      <w:r w:rsidRPr="00A23471">
        <w:rPr>
          <w:rFonts w:ascii="Arial" w:hAnsi="Arial" w:cs="Arial"/>
          <w:b/>
          <w:color w:val="auto"/>
          <w:szCs w:val="24"/>
          <w:lang w:eastAsia="fr-CA"/>
        </w:rPr>
        <w:t>Mélody</w:t>
      </w:r>
      <w:proofErr w:type="spellEnd"/>
      <w:r w:rsidRPr="00A23471">
        <w:rPr>
          <w:rFonts w:ascii="Arial" w:hAnsi="Arial" w:cs="Arial"/>
          <w:b/>
          <w:color w:val="auto"/>
          <w:szCs w:val="24"/>
          <w:lang w:eastAsia="fr-CA"/>
        </w:rPr>
        <w:t xml:space="preserve"> Blais</w:t>
      </w:r>
      <w:r w:rsidRPr="00D8482E">
        <w:rPr>
          <w:rFonts w:ascii="Arial" w:hAnsi="Arial" w:cs="Arial"/>
          <w:color w:val="auto"/>
          <w:szCs w:val="24"/>
          <w:lang w:eastAsia="fr-CA"/>
        </w:rPr>
        <w:t xml:space="preserve"> synthétise ce que les derniers travaux de recherche nous apprennent sur le lien entre mémoire procédurale, apprentissage procédural et comorbidité. Dans cette perspective, les auteurs s’appuient plus particulièrement sur le cas précis de la comorbidité entre le trouble développemental de la coordination et la dyslexie développementale, et sur le modèle de </w:t>
      </w:r>
      <w:proofErr w:type="spellStart"/>
      <w:r w:rsidRPr="00A23471">
        <w:rPr>
          <w:rFonts w:ascii="Arial" w:hAnsi="Arial" w:cs="Arial"/>
          <w:i/>
          <w:color w:val="auto"/>
          <w:szCs w:val="24"/>
          <w:lang w:eastAsia="fr-CA"/>
        </w:rPr>
        <w:t>Nicolson</w:t>
      </w:r>
      <w:proofErr w:type="spellEnd"/>
      <w:r w:rsidRPr="00A23471">
        <w:rPr>
          <w:rFonts w:ascii="Arial" w:hAnsi="Arial" w:cs="Arial"/>
          <w:i/>
          <w:color w:val="auto"/>
          <w:szCs w:val="24"/>
          <w:lang w:eastAsia="fr-CA"/>
        </w:rPr>
        <w:t xml:space="preserve"> et Fawcett</w:t>
      </w:r>
      <w:r w:rsidRPr="00D8482E">
        <w:rPr>
          <w:rFonts w:ascii="Arial" w:hAnsi="Arial" w:cs="Arial"/>
          <w:color w:val="auto"/>
          <w:szCs w:val="24"/>
          <w:lang w:eastAsia="fr-CA"/>
        </w:rPr>
        <w:t xml:space="preserve"> dont les travaux explorent depuis plus de 25 ans cette question toute spécifique.</w:t>
      </w:r>
    </w:p>
    <w:p w14:paraId="4EDC908E" w14:textId="77777777" w:rsid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Revenant sur le développement et le fonctionnement typique, </w:t>
      </w:r>
      <w:r w:rsidRPr="00A23471">
        <w:rPr>
          <w:rFonts w:ascii="Arial" w:hAnsi="Arial" w:cs="Arial"/>
          <w:b/>
          <w:color w:val="auto"/>
          <w:szCs w:val="24"/>
          <w:lang w:eastAsia="fr-CA"/>
        </w:rPr>
        <w:t xml:space="preserve">Fanny </w:t>
      </w:r>
      <w:proofErr w:type="spellStart"/>
      <w:r w:rsidRPr="00A23471">
        <w:rPr>
          <w:rFonts w:ascii="Arial" w:hAnsi="Arial" w:cs="Arial"/>
          <w:b/>
          <w:color w:val="auto"/>
          <w:szCs w:val="24"/>
          <w:lang w:eastAsia="fr-CA"/>
        </w:rPr>
        <w:t>Dégeilh</w:t>
      </w:r>
      <w:proofErr w:type="spellEnd"/>
      <w:r w:rsidRPr="00A23471">
        <w:rPr>
          <w:rFonts w:ascii="Arial" w:hAnsi="Arial" w:cs="Arial"/>
          <w:b/>
          <w:color w:val="auto"/>
          <w:szCs w:val="24"/>
          <w:lang w:eastAsia="fr-CA"/>
        </w:rPr>
        <w:t xml:space="preserve">, Francis Eustache et Bérangère </w:t>
      </w:r>
      <w:proofErr w:type="spellStart"/>
      <w:r w:rsidRPr="00A23471">
        <w:rPr>
          <w:rFonts w:ascii="Arial" w:hAnsi="Arial" w:cs="Arial"/>
          <w:b/>
          <w:color w:val="auto"/>
          <w:szCs w:val="24"/>
          <w:lang w:eastAsia="fr-CA"/>
        </w:rPr>
        <w:t>Guillery</w:t>
      </w:r>
      <w:proofErr w:type="spellEnd"/>
      <w:r w:rsidRPr="00A23471">
        <w:rPr>
          <w:rFonts w:ascii="Arial" w:hAnsi="Arial" w:cs="Arial"/>
          <w:b/>
          <w:color w:val="auto"/>
          <w:szCs w:val="24"/>
          <w:lang w:eastAsia="fr-CA"/>
        </w:rPr>
        <w:t xml:space="preserve">-Girard </w:t>
      </w:r>
      <w:r w:rsidRPr="00D8482E">
        <w:rPr>
          <w:rFonts w:ascii="Arial" w:hAnsi="Arial" w:cs="Arial"/>
          <w:color w:val="auto"/>
          <w:szCs w:val="24"/>
          <w:lang w:eastAsia="fr-CA"/>
        </w:rPr>
        <w:t xml:space="preserve">proposent une revue des connaissances sur le </w:t>
      </w:r>
      <w:proofErr w:type="spellStart"/>
      <w:r w:rsidRPr="00D8482E">
        <w:rPr>
          <w:rFonts w:ascii="Arial" w:hAnsi="Arial" w:cs="Arial"/>
          <w:color w:val="auto"/>
          <w:szCs w:val="24"/>
          <w:lang w:eastAsia="fr-CA"/>
        </w:rPr>
        <w:t>neurodéveloppement</w:t>
      </w:r>
      <w:proofErr w:type="spellEnd"/>
      <w:r w:rsidRPr="00D8482E">
        <w:rPr>
          <w:rFonts w:ascii="Arial" w:hAnsi="Arial" w:cs="Arial"/>
          <w:color w:val="auto"/>
          <w:szCs w:val="24"/>
          <w:lang w:eastAsia="fr-CA"/>
        </w:rPr>
        <w:t xml:space="preserve"> de la mémoire selon une approche </w:t>
      </w:r>
      <w:proofErr w:type="spellStart"/>
      <w:r w:rsidRPr="00D8482E">
        <w:rPr>
          <w:rFonts w:ascii="Arial" w:hAnsi="Arial" w:cs="Arial"/>
          <w:color w:val="auto"/>
          <w:szCs w:val="24"/>
          <w:lang w:eastAsia="fr-CA"/>
        </w:rPr>
        <w:t>multisystémique</w:t>
      </w:r>
      <w:proofErr w:type="spellEnd"/>
      <w:r w:rsidRPr="00D8482E">
        <w:rPr>
          <w:rFonts w:ascii="Arial" w:hAnsi="Arial" w:cs="Arial"/>
          <w:color w:val="auto"/>
          <w:szCs w:val="24"/>
          <w:lang w:eastAsia="fr-CA"/>
        </w:rPr>
        <w:t xml:space="preserve">. Afin de montrer le lien entre le développement mnésique et le développement progressif des autres fonctions cognitives (langage, attention, </w:t>
      </w:r>
      <w:r w:rsidRPr="00D8482E">
        <w:rPr>
          <w:rFonts w:ascii="Arial" w:hAnsi="Arial" w:cs="Arial"/>
          <w:color w:val="auto"/>
          <w:szCs w:val="24"/>
          <w:lang w:eastAsia="fr-CA"/>
        </w:rPr>
        <w:lastRenderedPageBreak/>
        <w:t>fonctions exécutives, etc.), les auteurs abordent en premier lieu les modifications structurales et fonctionnelles de l’hippocampe et du cortex préfrontal de l’enfance à l’adolescence. Comme illustration autant que comme base de réflexion, sont abordées à cette suite les stratégies de mémorisation possibles chez l’enfant pour soutenir ses apprentissages.</w:t>
      </w:r>
    </w:p>
    <w:p w14:paraId="5F3031A7" w14:textId="77777777" w:rsidR="00A23471" w:rsidRPr="00D8482E" w:rsidRDefault="00A23471" w:rsidP="00D8482E">
      <w:pPr>
        <w:pStyle w:val="21-ResumeFR"/>
        <w:jc w:val="left"/>
        <w:rPr>
          <w:rFonts w:ascii="Arial" w:hAnsi="Arial" w:cs="Arial"/>
          <w:color w:val="auto"/>
          <w:szCs w:val="24"/>
          <w:lang w:eastAsia="fr-CA"/>
        </w:rPr>
      </w:pPr>
    </w:p>
    <w:p w14:paraId="7EA2661B" w14:textId="77777777" w:rsid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Dans la continuité, l’article de </w:t>
      </w:r>
      <w:r w:rsidRPr="00A23471">
        <w:rPr>
          <w:rFonts w:ascii="Arial" w:hAnsi="Arial" w:cs="Arial"/>
          <w:b/>
          <w:color w:val="auto"/>
          <w:szCs w:val="24"/>
          <w:lang w:eastAsia="fr-CA"/>
        </w:rPr>
        <w:t>Michel Fayol</w:t>
      </w:r>
      <w:r w:rsidRPr="00D8482E">
        <w:rPr>
          <w:rFonts w:ascii="Arial" w:hAnsi="Arial" w:cs="Arial"/>
          <w:color w:val="auto"/>
          <w:szCs w:val="24"/>
          <w:lang w:eastAsia="fr-CA"/>
        </w:rPr>
        <w:t xml:space="preserve"> porte la question de la mémoire de travail jusqu’à la salle de classe, en interrogeant plus volontiers les modalités d’intervention susceptibles d’améliorer la gestion par les enseignants des contraintes de cette mémoire dans le cadre des apprentissages scolaires (lecture, mathématiques, production écrite). Diverses expériences ont en effet été conduites pour améliorer les capacités de la mémoire de travail chez l’élève, induire l’apprentissage et l’utilisation de stratégies ou faciliter en temps réel la gestion des tâches ; elles seront détaillées dans cette revue.</w:t>
      </w:r>
    </w:p>
    <w:p w14:paraId="56EDB24D" w14:textId="77777777" w:rsidR="00A23471" w:rsidRPr="00D8482E" w:rsidRDefault="00A23471" w:rsidP="00D8482E">
      <w:pPr>
        <w:pStyle w:val="21-ResumeFR"/>
        <w:jc w:val="left"/>
        <w:rPr>
          <w:rFonts w:ascii="Arial" w:hAnsi="Arial" w:cs="Arial"/>
          <w:color w:val="auto"/>
          <w:szCs w:val="24"/>
          <w:lang w:eastAsia="fr-CA"/>
        </w:rPr>
      </w:pPr>
    </w:p>
    <w:p w14:paraId="373427CC" w14:textId="77777777" w:rsid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Pour finir, </w:t>
      </w:r>
      <w:r w:rsidRPr="00A23471">
        <w:rPr>
          <w:rFonts w:ascii="Arial" w:hAnsi="Arial" w:cs="Arial"/>
          <w:b/>
          <w:color w:val="auto"/>
          <w:szCs w:val="24"/>
          <w:lang w:eastAsia="fr-CA"/>
        </w:rPr>
        <w:t xml:space="preserve">Mélanie </w:t>
      </w:r>
      <w:proofErr w:type="spellStart"/>
      <w:r w:rsidRPr="00A23471">
        <w:rPr>
          <w:rFonts w:ascii="Arial" w:hAnsi="Arial" w:cs="Arial"/>
          <w:b/>
          <w:color w:val="auto"/>
          <w:szCs w:val="24"/>
          <w:lang w:eastAsia="fr-CA"/>
        </w:rPr>
        <w:t>Jucla</w:t>
      </w:r>
      <w:proofErr w:type="spellEnd"/>
      <w:r w:rsidRPr="00A23471">
        <w:rPr>
          <w:rFonts w:ascii="Arial" w:hAnsi="Arial" w:cs="Arial"/>
          <w:b/>
          <w:color w:val="auto"/>
          <w:szCs w:val="24"/>
          <w:lang w:eastAsia="fr-CA"/>
        </w:rPr>
        <w:t xml:space="preserve"> et Stéphanie </w:t>
      </w:r>
      <w:proofErr w:type="spellStart"/>
      <w:r w:rsidRPr="00A23471">
        <w:rPr>
          <w:rFonts w:ascii="Arial" w:hAnsi="Arial" w:cs="Arial"/>
          <w:b/>
          <w:color w:val="auto"/>
          <w:szCs w:val="24"/>
          <w:lang w:eastAsia="fr-CA"/>
        </w:rPr>
        <w:t>Maziero</w:t>
      </w:r>
      <w:proofErr w:type="spellEnd"/>
      <w:r w:rsidRPr="00D8482E">
        <w:rPr>
          <w:rFonts w:ascii="Arial" w:hAnsi="Arial" w:cs="Arial"/>
          <w:color w:val="auto"/>
          <w:szCs w:val="24"/>
          <w:lang w:eastAsia="fr-CA"/>
        </w:rPr>
        <w:t xml:space="preserve"> présentent l’hypothèse développée par </w:t>
      </w:r>
      <w:proofErr w:type="spellStart"/>
      <w:r w:rsidRPr="00A23471">
        <w:rPr>
          <w:rFonts w:ascii="Arial" w:hAnsi="Arial" w:cs="Arial"/>
          <w:i/>
          <w:color w:val="auto"/>
          <w:szCs w:val="24"/>
          <w:lang w:eastAsia="fr-CA"/>
        </w:rPr>
        <w:t>Ullman</w:t>
      </w:r>
      <w:proofErr w:type="spellEnd"/>
      <w:r w:rsidRPr="00A23471">
        <w:rPr>
          <w:rFonts w:ascii="Arial" w:hAnsi="Arial" w:cs="Arial"/>
          <w:i/>
          <w:color w:val="auto"/>
          <w:szCs w:val="24"/>
          <w:lang w:eastAsia="fr-CA"/>
        </w:rPr>
        <w:t xml:space="preserve"> et Pullman (2015)</w:t>
      </w:r>
      <w:r w:rsidRPr="00D8482E">
        <w:rPr>
          <w:rFonts w:ascii="Arial" w:hAnsi="Arial" w:cs="Arial"/>
          <w:color w:val="auto"/>
          <w:szCs w:val="24"/>
          <w:lang w:eastAsia="fr-CA"/>
        </w:rPr>
        <w:t xml:space="preserve"> selon laquelle la mémoire déclarative pourrait jouer un rôle compensatoire dans les troubles spécifiques du langage oral et écrit, notamment lorsque la mémoire procédurale est impactée. Dans ces troubles, la question de la préservation ou de l’altération des processus mnésiques et des différentes mémoires se posent en effet. Cet article vise dès lors à rendre compte des interactions possibles entre différents systèmes mnésiques dans les troubles comme la dyslexie et les troubles développementaux du langage oral.</w:t>
      </w:r>
    </w:p>
    <w:p w14:paraId="77DE1D9E" w14:textId="77777777" w:rsidR="00A23471" w:rsidRPr="00D8482E" w:rsidRDefault="00A23471" w:rsidP="00D8482E">
      <w:pPr>
        <w:pStyle w:val="21-ResumeFR"/>
        <w:jc w:val="left"/>
        <w:rPr>
          <w:rFonts w:ascii="Arial" w:hAnsi="Arial" w:cs="Arial"/>
          <w:color w:val="auto"/>
          <w:szCs w:val="24"/>
          <w:lang w:eastAsia="fr-CA"/>
        </w:rPr>
      </w:pPr>
    </w:p>
    <w:p w14:paraId="66E79F0A" w14:textId="77777777" w:rsidR="00D8482E" w:rsidRPr="00D8482E" w:rsidRDefault="00D8482E" w:rsidP="00D8482E">
      <w:pPr>
        <w:pStyle w:val="21-ResumeFR"/>
        <w:jc w:val="left"/>
        <w:rPr>
          <w:rFonts w:ascii="Arial" w:hAnsi="Arial" w:cs="Arial"/>
          <w:color w:val="auto"/>
          <w:szCs w:val="24"/>
          <w:lang w:eastAsia="fr-CA"/>
        </w:rPr>
      </w:pPr>
      <w:r w:rsidRPr="00D8482E">
        <w:rPr>
          <w:rFonts w:ascii="Arial" w:hAnsi="Arial" w:cs="Arial"/>
          <w:color w:val="auto"/>
          <w:szCs w:val="24"/>
          <w:lang w:eastAsia="fr-CA"/>
        </w:rPr>
        <w:t xml:space="preserve">Dans leur intégralité, évoquant tantôt la pathologie, le trouble ou le </w:t>
      </w:r>
      <w:proofErr w:type="spellStart"/>
      <w:r w:rsidRPr="00D8482E">
        <w:rPr>
          <w:rFonts w:ascii="Arial" w:hAnsi="Arial" w:cs="Arial"/>
          <w:color w:val="auto"/>
          <w:szCs w:val="24"/>
          <w:lang w:eastAsia="fr-CA"/>
        </w:rPr>
        <w:t>neurodéveloppement</w:t>
      </w:r>
      <w:proofErr w:type="spellEnd"/>
      <w:r w:rsidRPr="00D8482E">
        <w:rPr>
          <w:rFonts w:ascii="Arial" w:hAnsi="Arial" w:cs="Arial"/>
          <w:color w:val="auto"/>
          <w:szCs w:val="24"/>
          <w:lang w:eastAsia="fr-CA"/>
        </w:rPr>
        <w:t xml:space="preserve"> typique, ces articles soutiennent ainsi une conceptualisation et une visualisation des mémoires en regard de l’apprentissage, des stratégies qui le rendent possible jusqu’à une mise en mémoire réalisable, défaillante ou incertaine. Les résumés des autres communications orales ou affichées complètent ce numéro.</w:t>
      </w:r>
    </w:p>
    <w:p w14:paraId="5ECD2BFB" w14:textId="77777777" w:rsidR="00D8482E" w:rsidRPr="00D8482E" w:rsidRDefault="00D8482E" w:rsidP="00D8482E">
      <w:pPr>
        <w:pStyle w:val="21-ResumeFR"/>
        <w:rPr>
          <w:rFonts w:ascii="Arial" w:hAnsi="Arial" w:cs="Arial"/>
          <w:color w:val="auto"/>
          <w:szCs w:val="24"/>
          <w:lang w:eastAsia="fr-CA"/>
        </w:rPr>
      </w:pPr>
    </w:p>
    <w:p w14:paraId="001D24DD" w14:textId="77777777" w:rsidR="00D8482E" w:rsidRPr="00165581" w:rsidRDefault="00D8482E" w:rsidP="00D8482E">
      <w:pPr>
        <w:pStyle w:val="21-ResumeFR"/>
        <w:jc w:val="right"/>
        <w:rPr>
          <w:rFonts w:ascii="Arial" w:hAnsi="Arial" w:cs="Arial"/>
          <w:color w:val="auto"/>
          <w:sz w:val="18"/>
          <w:szCs w:val="24"/>
          <w:lang w:eastAsia="fr-CA"/>
        </w:rPr>
      </w:pPr>
      <w:r w:rsidRPr="00165581">
        <w:rPr>
          <w:rFonts w:ascii="Arial" w:hAnsi="Arial" w:cs="Arial"/>
          <w:color w:val="auto"/>
          <w:sz w:val="18"/>
          <w:szCs w:val="24"/>
          <w:lang w:eastAsia="fr-CA"/>
        </w:rPr>
        <w:t xml:space="preserve">Dr Maëlle </w:t>
      </w:r>
      <w:proofErr w:type="spellStart"/>
      <w:r w:rsidRPr="00165581">
        <w:rPr>
          <w:rFonts w:ascii="Arial" w:hAnsi="Arial" w:cs="Arial"/>
          <w:color w:val="auto"/>
          <w:sz w:val="18"/>
          <w:szCs w:val="24"/>
          <w:lang w:eastAsia="fr-CA"/>
        </w:rPr>
        <w:t>Biotteau</w:t>
      </w:r>
      <w:proofErr w:type="spellEnd"/>
      <w:r w:rsidRPr="00165581">
        <w:rPr>
          <w:rFonts w:ascii="Arial" w:hAnsi="Arial" w:cs="Arial"/>
          <w:color w:val="auto"/>
          <w:sz w:val="18"/>
          <w:szCs w:val="24"/>
          <w:lang w:eastAsia="fr-CA"/>
        </w:rPr>
        <w:t>*, Pr Yves Chaix*</w:t>
      </w:r>
      <w:proofErr w:type="gramStart"/>
      <w:r w:rsidRPr="00165581">
        <w:rPr>
          <w:rFonts w:ascii="Arial" w:hAnsi="Arial" w:cs="Arial"/>
          <w:color w:val="auto"/>
          <w:sz w:val="18"/>
          <w:szCs w:val="24"/>
          <w:lang w:eastAsia="fr-CA"/>
        </w:rPr>
        <w:t>,*</w:t>
      </w:r>
      <w:proofErr w:type="gramEnd"/>
      <w:r w:rsidRPr="00165581">
        <w:rPr>
          <w:rFonts w:ascii="Arial" w:hAnsi="Arial" w:cs="Arial"/>
          <w:color w:val="auto"/>
          <w:sz w:val="18"/>
          <w:szCs w:val="24"/>
          <w:lang w:eastAsia="fr-CA"/>
        </w:rPr>
        <w:t>* et Dr Jean-Michel Albaret*</w:t>
      </w:r>
    </w:p>
    <w:p w14:paraId="791BDC3E" w14:textId="77777777" w:rsidR="00D8482E" w:rsidRPr="00165581" w:rsidRDefault="00D8482E" w:rsidP="00D8482E">
      <w:pPr>
        <w:pStyle w:val="21-ResumeFR"/>
        <w:jc w:val="right"/>
        <w:rPr>
          <w:rFonts w:ascii="Arial" w:hAnsi="Arial" w:cs="Arial"/>
          <w:color w:val="auto"/>
          <w:sz w:val="18"/>
          <w:szCs w:val="24"/>
          <w:lang w:eastAsia="fr-CA"/>
        </w:rPr>
      </w:pPr>
      <w:r w:rsidRPr="00165581">
        <w:rPr>
          <w:rFonts w:ascii="Arial" w:hAnsi="Arial" w:cs="Arial"/>
          <w:color w:val="auto"/>
          <w:sz w:val="18"/>
          <w:szCs w:val="24"/>
          <w:lang w:eastAsia="fr-CA"/>
        </w:rPr>
        <w:t xml:space="preserve">* </w:t>
      </w:r>
      <w:proofErr w:type="spellStart"/>
      <w:r w:rsidRPr="00165581">
        <w:rPr>
          <w:rFonts w:ascii="Arial" w:hAnsi="Arial" w:cs="Arial"/>
          <w:color w:val="auto"/>
          <w:sz w:val="18"/>
          <w:szCs w:val="24"/>
          <w:lang w:eastAsia="fr-CA"/>
        </w:rPr>
        <w:t>ToNIC</w:t>
      </w:r>
      <w:proofErr w:type="spellEnd"/>
      <w:r w:rsidRPr="00165581">
        <w:rPr>
          <w:rFonts w:ascii="Arial" w:hAnsi="Arial" w:cs="Arial"/>
          <w:color w:val="auto"/>
          <w:sz w:val="18"/>
          <w:szCs w:val="24"/>
          <w:lang w:eastAsia="fr-CA"/>
        </w:rPr>
        <w:t xml:space="preserve">, Toulouse </w:t>
      </w:r>
      <w:proofErr w:type="spellStart"/>
      <w:r w:rsidRPr="00165581">
        <w:rPr>
          <w:rFonts w:ascii="Arial" w:hAnsi="Arial" w:cs="Arial"/>
          <w:color w:val="auto"/>
          <w:sz w:val="18"/>
          <w:szCs w:val="24"/>
          <w:lang w:eastAsia="fr-CA"/>
        </w:rPr>
        <w:t>NeuroImaging</w:t>
      </w:r>
      <w:proofErr w:type="spellEnd"/>
      <w:r w:rsidRPr="00165581">
        <w:rPr>
          <w:rFonts w:ascii="Arial" w:hAnsi="Arial" w:cs="Arial"/>
          <w:color w:val="auto"/>
          <w:sz w:val="18"/>
          <w:szCs w:val="24"/>
          <w:lang w:eastAsia="fr-CA"/>
        </w:rPr>
        <w:t xml:space="preserve"> Center, Université de Toulouse, Inserm, UPS, France </w:t>
      </w:r>
    </w:p>
    <w:p w14:paraId="39164ACB" w14:textId="3CDD2BF0" w:rsidR="00BF391B" w:rsidRPr="00165581" w:rsidRDefault="00D8482E" w:rsidP="00D8482E">
      <w:pPr>
        <w:pStyle w:val="21-ResumeFR"/>
        <w:jc w:val="right"/>
        <w:rPr>
          <w:rFonts w:ascii="Arial" w:hAnsi="Arial" w:cs="Arial"/>
          <w:sz w:val="18"/>
          <w:lang w:eastAsia="fr-CA"/>
        </w:rPr>
      </w:pPr>
      <w:r w:rsidRPr="00165581">
        <w:rPr>
          <w:rFonts w:ascii="Arial" w:hAnsi="Arial" w:cs="Arial"/>
          <w:color w:val="auto"/>
          <w:sz w:val="18"/>
          <w:szCs w:val="24"/>
          <w:lang w:eastAsia="fr-CA"/>
        </w:rPr>
        <w:t xml:space="preserve">** Hôpital des enfants, Centre hospitalier universitaire de Toulouse, CHU </w:t>
      </w:r>
      <w:proofErr w:type="spellStart"/>
      <w:r w:rsidRPr="00165581">
        <w:rPr>
          <w:rFonts w:ascii="Arial" w:hAnsi="Arial" w:cs="Arial"/>
          <w:color w:val="auto"/>
          <w:sz w:val="18"/>
          <w:szCs w:val="24"/>
          <w:lang w:eastAsia="fr-CA"/>
        </w:rPr>
        <w:t>Purpan</w:t>
      </w:r>
      <w:proofErr w:type="spellEnd"/>
      <w:r w:rsidR="00BF391B" w:rsidRPr="00165581">
        <w:rPr>
          <w:rFonts w:ascii="Arial" w:hAnsi="Arial" w:cs="Arial"/>
          <w:sz w:val="18"/>
          <w:lang w:eastAsia="fr-CA"/>
        </w:rPr>
        <w:t>.</w:t>
      </w:r>
    </w:p>
    <w:p w14:paraId="23E84C60" w14:textId="77777777" w:rsidR="00942461" w:rsidRDefault="00942461" w:rsidP="00BF391B">
      <w:pPr>
        <w:pStyle w:val="21-ResumeFR"/>
        <w:rPr>
          <w:rFonts w:ascii="Arial" w:hAnsi="Arial" w:cs="Arial"/>
          <w:lang w:eastAsia="fr-CA"/>
        </w:rPr>
      </w:pPr>
    </w:p>
    <w:p w14:paraId="5F758FB3" w14:textId="25993C31" w:rsidR="00942461" w:rsidRPr="00942461" w:rsidRDefault="003F3A32" w:rsidP="00942461">
      <w:pPr>
        <w:ind w:left="567"/>
        <w:jc w:val="center"/>
        <w:rPr>
          <w:rFonts w:eastAsia="Calibri"/>
          <w:sz w:val="20"/>
        </w:rPr>
      </w:pPr>
      <w:hyperlink r:id="rId6" w:history="1">
        <w:r w:rsidR="00942461" w:rsidRPr="00942461">
          <w:rPr>
            <w:rFonts w:eastAsia="Calibri"/>
            <w:b/>
            <w:bCs/>
            <w:color w:val="C00000"/>
            <w:szCs w:val="32"/>
            <w:u w:val="single"/>
          </w:rPr>
          <w:t>Acheter le N° 14</w:t>
        </w:r>
        <w:r w:rsidR="00A23471">
          <w:rPr>
            <w:rFonts w:eastAsia="Calibri"/>
            <w:b/>
            <w:bCs/>
            <w:color w:val="C00000"/>
            <w:szCs w:val="32"/>
            <w:u w:val="single"/>
          </w:rPr>
          <w:t>9</w:t>
        </w:r>
      </w:hyperlink>
    </w:p>
    <w:p w14:paraId="3C16BE36" w14:textId="77777777" w:rsidR="00942461" w:rsidRPr="00942461" w:rsidRDefault="00942461" w:rsidP="00942461">
      <w:pPr>
        <w:jc w:val="center"/>
        <w:rPr>
          <w:rFonts w:ascii="Calibri" w:eastAsia="Calibri" w:hAnsi="Calibri"/>
          <w:sz w:val="18"/>
          <w:szCs w:val="22"/>
        </w:rPr>
      </w:pPr>
    </w:p>
    <w:p w14:paraId="4F8C04F1" w14:textId="77777777" w:rsidR="00942461" w:rsidRPr="00942461" w:rsidRDefault="003F3A32" w:rsidP="00942461">
      <w:pPr>
        <w:ind w:left="567"/>
        <w:jc w:val="center"/>
        <w:rPr>
          <w:rFonts w:eastAsia="Calibri"/>
          <w:color w:val="C00000"/>
          <w:sz w:val="22"/>
          <w:szCs w:val="28"/>
        </w:rPr>
      </w:pPr>
      <w:hyperlink r:id="rId7" w:history="1">
        <w:r w:rsidR="00942461" w:rsidRPr="00942461">
          <w:rPr>
            <w:rFonts w:eastAsia="Calibri"/>
            <w:b/>
            <w:bCs/>
            <w:color w:val="C00000"/>
            <w:szCs w:val="32"/>
            <w:u w:val="single"/>
          </w:rPr>
          <w:t>S’abonner ou se réabonner pour 2017</w:t>
        </w:r>
      </w:hyperlink>
    </w:p>
    <w:p w14:paraId="49A67DE6" w14:textId="77777777" w:rsidR="00942461" w:rsidRPr="00942461" w:rsidRDefault="00942461" w:rsidP="00942461">
      <w:pPr>
        <w:jc w:val="center"/>
        <w:rPr>
          <w:rFonts w:eastAsia="Calibri"/>
          <w:color w:val="000000"/>
          <w:sz w:val="20"/>
        </w:rPr>
      </w:pPr>
    </w:p>
    <w:p w14:paraId="1338AD0F" w14:textId="77777777" w:rsidR="00942461" w:rsidRPr="00942461" w:rsidRDefault="00942461" w:rsidP="00942461">
      <w:pPr>
        <w:jc w:val="center"/>
        <w:rPr>
          <w:rFonts w:eastAsia="Calibri"/>
          <w:b/>
          <w:bCs/>
          <w:color w:val="C00000"/>
          <w:sz w:val="22"/>
          <w:szCs w:val="28"/>
        </w:rPr>
      </w:pPr>
      <w:r w:rsidRPr="00942461">
        <w:rPr>
          <w:rFonts w:eastAsia="Calibri"/>
          <w:b/>
          <w:bCs/>
          <w:color w:val="C00000"/>
          <w:sz w:val="22"/>
          <w:szCs w:val="28"/>
        </w:rPr>
        <w:t>Vous pouvez aussi télécharger le bon de commande en pièce jointe</w:t>
      </w:r>
    </w:p>
    <w:p w14:paraId="21C6B760" w14:textId="77777777" w:rsidR="00942461" w:rsidRPr="00BF391B" w:rsidRDefault="00942461" w:rsidP="00BF391B">
      <w:pPr>
        <w:pStyle w:val="21-ResumeFR"/>
        <w:rPr>
          <w:rFonts w:ascii="Arial" w:hAnsi="Arial" w:cs="Arial"/>
          <w:lang w:eastAsia="fr-CA"/>
        </w:rPr>
      </w:pPr>
    </w:p>
    <w:p w14:paraId="3B8B7B7B" w14:textId="2FF8D0F7" w:rsidR="00F17A20" w:rsidRPr="00165581" w:rsidRDefault="00304ED3" w:rsidP="00341A83">
      <w:pPr>
        <w:pStyle w:val="21-ResumeFR"/>
        <w:jc w:val="center"/>
        <w:rPr>
          <w:rStyle w:val="03-Gras"/>
          <w:rFonts w:ascii="Times New Roman" w:hAnsi="Times New Roman" w:cs="Times New Roman"/>
          <w:sz w:val="24"/>
          <w:u w:val="single"/>
        </w:rPr>
      </w:pPr>
      <w:r w:rsidRPr="00165581">
        <w:rPr>
          <w:rStyle w:val="03-Gras"/>
          <w:rFonts w:ascii="Times New Roman" w:hAnsi="Times New Roman" w:cs="Times New Roman"/>
          <w:sz w:val="24"/>
          <w:u w:val="single"/>
        </w:rPr>
        <w:t>DOSSIER</w:t>
      </w:r>
    </w:p>
    <w:p w14:paraId="084A8B8F" w14:textId="77777777" w:rsidR="00A97418" w:rsidRPr="00165581" w:rsidRDefault="00A97418" w:rsidP="00F17A20">
      <w:pPr>
        <w:pStyle w:val="21-ResumeFR"/>
        <w:rPr>
          <w:rStyle w:val="03-Gras"/>
          <w:rFonts w:ascii="Times New Roman" w:hAnsi="Times New Roman" w:cs="Times New Roman"/>
          <w:sz w:val="18"/>
        </w:rPr>
      </w:pPr>
    </w:p>
    <w:p w14:paraId="687BF0FA" w14:textId="77777777" w:rsidR="00A23471" w:rsidRPr="00165581" w:rsidRDefault="00A23471" w:rsidP="00165581">
      <w:pPr>
        <w:pStyle w:val="21-ResumeFR"/>
        <w:spacing w:line="240" w:lineRule="auto"/>
        <w:rPr>
          <w:rFonts w:ascii="Times New Roman" w:hAnsi="Times New Roman" w:cs="Times New Roman"/>
          <w:b/>
          <w:sz w:val="18"/>
        </w:rPr>
      </w:pPr>
      <w:r w:rsidRPr="00165581">
        <w:rPr>
          <w:rFonts w:ascii="Times New Roman" w:hAnsi="Times New Roman" w:cs="Times New Roman"/>
          <w:b/>
          <w:sz w:val="18"/>
        </w:rPr>
        <w:t>Les modèles de la mémoire déclarative et leur évolution</w:t>
      </w:r>
    </w:p>
    <w:p w14:paraId="63151939" w14:textId="77777777" w:rsidR="004874E2" w:rsidRPr="00165581" w:rsidRDefault="004874E2" w:rsidP="00165581">
      <w:pPr>
        <w:pStyle w:val="21-ResumeFR"/>
        <w:spacing w:line="240" w:lineRule="auto"/>
        <w:rPr>
          <w:rFonts w:ascii="Times New Roman" w:hAnsi="Times New Roman" w:cs="Times New Roman"/>
          <w:iCs/>
          <w:sz w:val="16"/>
          <w:szCs w:val="14"/>
        </w:rPr>
      </w:pPr>
      <w:r w:rsidRPr="00165581">
        <w:rPr>
          <w:rFonts w:ascii="Times New Roman" w:hAnsi="Times New Roman" w:cs="Times New Roman"/>
          <w:iCs/>
          <w:sz w:val="16"/>
          <w:szCs w:val="14"/>
        </w:rPr>
        <w:t>E. BARBEAU</w:t>
      </w:r>
    </w:p>
    <w:p w14:paraId="1F928F13" w14:textId="77777777" w:rsidR="00341A83" w:rsidRPr="00165581" w:rsidRDefault="00341A83" w:rsidP="00165581">
      <w:pPr>
        <w:pStyle w:val="21-ResumeFR"/>
        <w:spacing w:line="240" w:lineRule="auto"/>
        <w:rPr>
          <w:rStyle w:val="03-Gras"/>
          <w:rFonts w:ascii="Times New Roman" w:hAnsi="Times New Roman" w:cs="Times New Roman"/>
          <w:sz w:val="10"/>
        </w:rPr>
      </w:pPr>
    </w:p>
    <w:p w14:paraId="60CE4977" w14:textId="77777777" w:rsidR="00A77BF8" w:rsidRPr="00165581" w:rsidRDefault="00A77BF8" w:rsidP="00165581">
      <w:pPr>
        <w:pStyle w:val="04-Fonction"/>
        <w:spacing w:before="0" w:line="240" w:lineRule="auto"/>
        <w:rPr>
          <w:rStyle w:val="03-Gras"/>
          <w:rFonts w:ascii="Times New Roman" w:hAnsi="Times New Roman" w:cs="Times New Roman"/>
          <w:sz w:val="18"/>
        </w:rPr>
      </w:pPr>
      <w:r w:rsidRPr="00165581">
        <w:rPr>
          <w:rStyle w:val="03-Gras"/>
          <w:rFonts w:ascii="Times New Roman" w:hAnsi="Times New Roman" w:cs="Times New Roman"/>
          <w:sz w:val="18"/>
        </w:rPr>
        <w:t>Rôle de la mémoire de travail dans l’apprentissage et ses troubles</w:t>
      </w:r>
    </w:p>
    <w:p w14:paraId="0500A923" w14:textId="70D3EA9A" w:rsidR="00A97418" w:rsidRPr="00165581" w:rsidRDefault="00CD4518" w:rsidP="00165581">
      <w:pPr>
        <w:pStyle w:val="21-ResumeFR"/>
        <w:spacing w:line="240" w:lineRule="auto"/>
        <w:rPr>
          <w:rFonts w:ascii="Times New Roman" w:hAnsi="Times New Roman" w:cs="Times New Roman"/>
          <w:bCs/>
          <w:caps/>
          <w:sz w:val="16"/>
          <w:szCs w:val="22"/>
        </w:rPr>
      </w:pPr>
      <w:r w:rsidRPr="00165581">
        <w:rPr>
          <w:rFonts w:ascii="Times New Roman" w:hAnsi="Times New Roman" w:cs="Times New Roman"/>
          <w:bCs/>
          <w:caps/>
          <w:sz w:val="16"/>
          <w:szCs w:val="22"/>
        </w:rPr>
        <w:t>S. MAJERUS</w:t>
      </w:r>
    </w:p>
    <w:p w14:paraId="2E463447" w14:textId="77777777" w:rsidR="00F17A20" w:rsidRPr="00165581" w:rsidRDefault="00F17A20" w:rsidP="00165581">
      <w:pPr>
        <w:rPr>
          <w:rStyle w:val="03-Gras"/>
          <w:rFonts w:ascii="Times New Roman" w:hAnsi="Times New Roman" w:cs="Times New Roman"/>
          <w:b w:val="0"/>
          <w:bCs w:val="0"/>
          <w:i/>
          <w:iCs/>
          <w:sz w:val="10"/>
        </w:rPr>
      </w:pPr>
    </w:p>
    <w:p w14:paraId="40C0DDCC" w14:textId="77777777" w:rsidR="00CD5B81" w:rsidRPr="00165581" w:rsidRDefault="00CD5B81"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sz w:val="18"/>
        </w:rPr>
        <w:t>Mémoire(s) et Apprentissage : que nous apprend le modèle de l’épilepsie ?</w:t>
      </w:r>
    </w:p>
    <w:p w14:paraId="11A5B94D" w14:textId="10DED428" w:rsidR="00A97418" w:rsidRPr="00165581" w:rsidRDefault="00B25879" w:rsidP="00165581">
      <w:pPr>
        <w:pStyle w:val="21-ResumeFR"/>
        <w:spacing w:line="240" w:lineRule="auto"/>
        <w:rPr>
          <w:rStyle w:val="03-Gras"/>
          <w:rFonts w:ascii="Times New Roman" w:hAnsi="Times New Roman" w:cs="Times New Roman"/>
          <w:b w:val="0"/>
          <w:bCs w:val="0"/>
          <w:iCs/>
          <w:sz w:val="16"/>
        </w:rPr>
      </w:pPr>
      <w:r w:rsidRPr="00165581">
        <w:rPr>
          <w:rStyle w:val="03-Gras"/>
          <w:rFonts w:ascii="Times New Roman" w:hAnsi="Times New Roman" w:cs="Times New Roman"/>
          <w:b w:val="0"/>
          <w:bCs w:val="0"/>
          <w:iCs/>
          <w:sz w:val="16"/>
        </w:rPr>
        <w:t>I. JAMBAQUÉ</w:t>
      </w:r>
    </w:p>
    <w:p w14:paraId="4F7DAA18" w14:textId="77777777" w:rsidR="00B25879" w:rsidRPr="00165581" w:rsidRDefault="00B25879" w:rsidP="00165581">
      <w:pPr>
        <w:pStyle w:val="21-ResumeFR"/>
        <w:spacing w:line="240" w:lineRule="auto"/>
        <w:rPr>
          <w:rStyle w:val="03-Gras"/>
          <w:rFonts w:ascii="Times New Roman" w:hAnsi="Times New Roman" w:cs="Times New Roman"/>
          <w:b w:val="0"/>
          <w:bCs w:val="0"/>
          <w:sz w:val="10"/>
        </w:rPr>
      </w:pPr>
    </w:p>
    <w:p w14:paraId="67D34EBE" w14:textId="77777777" w:rsidR="0087059F" w:rsidRPr="00165581" w:rsidRDefault="0087059F"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sz w:val="18"/>
        </w:rPr>
        <w:t>Mémoire spécialisée et autisme : jusqu’où les stratégies d’apprentissage ?</w:t>
      </w:r>
    </w:p>
    <w:p w14:paraId="545946C1" w14:textId="77777777" w:rsidR="0087059F" w:rsidRPr="00165581" w:rsidRDefault="0087059F"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sz w:val="18"/>
        </w:rPr>
        <w:t>L’exemple du vocabulaire</w:t>
      </w:r>
    </w:p>
    <w:p w14:paraId="424463B2" w14:textId="0AF0356A" w:rsidR="00F17A20" w:rsidRPr="00165581" w:rsidRDefault="00177719" w:rsidP="00165581">
      <w:pPr>
        <w:rPr>
          <w:rStyle w:val="03-Gras"/>
          <w:rFonts w:ascii="Times New Roman" w:hAnsi="Times New Roman" w:cs="Times New Roman"/>
          <w:b w:val="0"/>
          <w:bCs w:val="0"/>
          <w:iCs/>
          <w:sz w:val="16"/>
        </w:rPr>
      </w:pPr>
      <w:r w:rsidRPr="00165581">
        <w:rPr>
          <w:rStyle w:val="03-Gras"/>
          <w:rFonts w:ascii="Times New Roman" w:hAnsi="Times New Roman" w:cs="Times New Roman"/>
          <w:b w:val="0"/>
          <w:bCs w:val="0"/>
          <w:iCs/>
          <w:sz w:val="16"/>
        </w:rPr>
        <w:t>P. GILLET &amp; F. BONNET-BRILHAULT</w:t>
      </w:r>
    </w:p>
    <w:p w14:paraId="6C194451" w14:textId="77777777" w:rsidR="00177719" w:rsidRPr="00165581" w:rsidRDefault="00177719" w:rsidP="00165581">
      <w:pPr>
        <w:rPr>
          <w:rStyle w:val="03-Gras"/>
          <w:rFonts w:ascii="Times New Roman" w:hAnsi="Times New Roman" w:cs="Times New Roman"/>
          <w:b w:val="0"/>
          <w:bCs w:val="0"/>
          <w:i/>
          <w:iCs/>
          <w:sz w:val="10"/>
        </w:rPr>
      </w:pPr>
    </w:p>
    <w:p w14:paraId="2E0E3E38" w14:textId="77777777" w:rsidR="00DD6127" w:rsidRPr="00165581" w:rsidRDefault="00DD6127" w:rsidP="00165581">
      <w:pPr>
        <w:pStyle w:val="21-ResumeFR"/>
        <w:spacing w:line="240" w:lineRule="auto"/>
        <w:jc w:val="left"/>
        <w:rPr>
          <w:rStyle w:val="03-Gras"/>
          <w:rFonts w:ascii="Times New Roman" w:hAnsi="Times New Roman" w:cs="Times New Roman"/>
          <w:sz w:val="18"/>
        </w:rPr>
      </w:pPr>
      <w:r w:rsidRPr="00165581">
        <w:rPr>
          <w:rStyle w:val="03-Gras"/>
          <w:rFonts w:ascii="Times New Roman" w:hAnsi="Times New Roman" w:cs="Times New Roman"/>
          <w:sz w:val="18"/>
        </w:rPr>
        <w:t>Rôle de l’apprentissage procédural et de la mémoire procédurale dans la dyslexie et le trouble développemental de la coordination</w:t>
      </w:r>
    </w:p>
    <w:p w14:paraId="3DA8411F" w14:textId="5612C191" w:rsidR="00013285" w:rsidRDefault="00DD6127" w:rsidP="00165581">
      <w:pPr>
        <w:pStyle w:val="21-ResumeFR"/>
        <w:spacing w:line="240" w:lineRule="auto"/>
        <w:rPr>
          <w:rStyle w:val="03-Gras"/>
          <w:rFonts w:ascii="Times New Roman" w:hAnsi="Times New Roman" w:cs="Times New Roman"/>
          <w:b w:val="0"/>
          <w:bCs w:val="0"/>
          <w:iCs/>
          <w:sz w:val="16"/>
        </w:rPr>
      </w:pPr>
      <w:r w:rsidRPr="00165581">
        <w:rPr>
          <w:rStyle w:val="03-Gras"/>
          <w:rFonts w:ascii="Times New Roman" w:hAnsi="Times New Roman" w:cs="Times New Roman"/>
          <w:b w:val="0"/>
          <w:bCs w:val="0"/>
          <w:iCs/>
          <w:sz w:val="16"/>
        </w:rPr>
        <w:t>M. BIOTTEAU &amp; M. BLAIS</w:t>
      </w:r>
    </w:p>
    <w:p w14:paraId="46478786" w14:textId="77777777" w:rsidR="00165581" w:rsidRPr="00165581" w:rsidRDefault="00165581" w:rsidP="00165581">
      <w:pPr>
        <w:pStyle w:val="21-ResumeFR"/>
        <w:spacing w:line="240" w:lineRule="auto"/>
        <w:rPr>
          <w:rStyle w:val="03-Gras"/>
          <w:rFonts w:ascii="Times New Roman" w:hAnsi="Times New Roman" w:cs="Times New Roman"/>
          <w:sz w:val="10"/>
        </w:rPr>
      </w:pPr>
    </w:p>
    <w:p w14:paraId="7B6DE317" w14:textId="1A76D30E" w:rsidR="00216DD1" w:rsidRPr="00165581" w:rsidRDefault="00216DD1"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sz w:val="18"/>
        </w:rPr>
        <w:t>La mémoire au cœur des apprentissages</w:t>
      </w:r>
    </w:p>
    <w:p w14:paraId="34991DEB" w14:textId="6B40D076" w:rsidR="00013285" w:rsidRPr="00165581" w:rsidRDefault="00216DD1"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b w:val="0"/>
          <w:bCs w:val="0"/>
          <w:iCs/>
          <w:sz w:val="16"/>
        </w:rPr>
        <w:t xml:space="preserve">F. DEGEILH, F. EUSTACHE ET </w:t>
      </w:r>
      <w:r w:rsidR="00A57EDE" w:rsidRPr="00165581">
        <w:rPr>
          <w:rStyle w:val="03-Gras"/>
          <w:rFonts w:ascii="Times New Roman" w:hAnsi="Times New Roman" w:cs="Times New Roman"/>
          <w:b w:val="0"/>
          <w:bCs w:val="0"/>
          <w:iCs/>
          <w:sz w:val="16"/>
        </w:rPr>
        <w:t>&amp;</w:t>
      </w:r>
      <w:r w:rsidRPr="00165581">
        <w:rPr>
          <w:rStyle w:val="03-Gras"/>
          <w:rFonts w:ascii="Times New Roman" w:hAnsi="Times New Roman" w:cs="Times New Roman"/>
          <w:b w:val="0"/>
          <w:bCs w:val="0"/>
          <w:iCs/>
          <w:sz w:val="16"/>
        </w:rPr>
        <w:t>. GUILLERY-GIRARD</w:t>
      </w:r>
    </w:p>
    <w:p w14:paraId="6FBBE2C5" w14:textId="77777777" w:rsidR="00F17A20" w:rsidRPr="00165581" w:rsidRDefault="00F17A20" w:rsidP="00165581">
      <w:pPr>
        <w:rPr>
          <w:rFonts w:ascii="Times New Roman" w:hAnsi="Times New Roman" w:cs="Times New Roman"/>
          <w:sz w:val="10"/>
        </w:rPr>
      </w:pPr>
    </w:p>
    <w:p w14:paraId="12D2F031" w14:textId="77777777" w:rsidR="00927E23" w:rsidRPr="00165581" w:rsidRDefault="00927E23" w:rsidP="00165581">
      <w:pPr>
        <w:pStyle w:val="21-ResumeFR"/>
        <w:spacing w:line="240" w:lineRule="auto"/>
        <w:rPr>
          <w:rStyle w:val="03-Gras"/>
          <w:rFonts w:ascii="Times New Roman" w:hAnsi="Times New Roman" w:cs="Times New Roman"/>
          <w:sz w:val="18"/>
        </w:rPr>
      </w:pPr>
      <w:r w:rsidRPr="00165581">
        <w:rPr>
          <w:rStyle w:val="03-Gras"/>
          <w:rFonts w:ascii="Times New Roman" w:hAnsi="Times New Roman" w:cs="Times New Roman"/>
          <w:sz w:val="18"/>
        </w:rPr>
        <w:t xml:space="preserve">La mémoire de travail : une contrainte surmontable pour les apprentissages scolaires ? </w:t>
      </w:r>
    </w:p>
    <w:p w14:paraId="54A77CFC" w14:textId="61ABEAFC" w:rsidR="00013285" w:rsidRPr="00165581" w:rsidRDefault="00436238" w:rsidP="00165581">
      <w:pPr>
        <w:pStyle w:val="21-ResumeFR"/>
        <w:spacing w:line="240" w:lineRule="auto"/>
        <w:rPr>
          <w:rStyle w:val="03-Gras"/>
          <w:rFonts w:ascii="Times New Roman" w:hAnsi="Times New Roman" w:cs="Times New Roman"/>
          <w:b w:val="0"/>
          <w:bCs w:val="0"/>
          <w:iCs/>
          <w:sz w:val="16"/>
        </w:rPr>
      </w:pPr>
      <w:r w:rsidRPr="00165581">
        <w:rPr>
          <w:rStyle w:val="03-Gras"/>
          <w:rFonts w:ascii="Times New Roman" w:hAnsi="Times New Roman" w:cs="Times New Roman"/>
          <w:b w:val="0"/>
          <w:bCs w:val="0"/>
          <w:iCs/>
          <w:sz w:val="16"/>
        </w:rPr>
        <w:t>M. FAYOL</w:t>
      </w:r>
    </w:p>
    <w:p w14:paraId="1B62A755" w14:textId="77777777" w:rsidR="00436238" w:rsidRPr="00165581" w:rsidRDefault="00436238" w:rsidP="00165581">
      <w:pPr>
        <w:pStyle w:val="21-ResumeFR"/>
        <w:spacing w:line="240" w:lineRule="auto"/>
        <w:rPr>
          <w:rStyle w:val="03-Gras"/>
          <w:rFonts w:ascii="Times New Roman" w:hAnsi="Times New Roman" w:cs="Times New Roman"/>
          <w:sz w:val="10"/>
        </w:rPr>
      </w:pPr>
    </w:p>
    <w:p w14:paraId="1EE96841" w14:textId="5F6BF8E3" w:rsidR="00F17A20" w:rsidRPr="00165581" w:rsidRDefault="00786818" w:rsidP="00165581">
      <w:pPr>
        <w:pStyle w:val="21-ResumeFR"/>
        <w:spacing w:line="240" w:lineRule="auto"/>
        <w:jc w:val="left"/>
        <w:rPr>
          <w:rStyle w:val="03-Gras"/>
          <w:rFonts w:ascii="Times New Roman" w:hAnsi="Times New Roman" w:cs="Times New Roman"/>
          <w:sz w:val="18"/>
        </w:rPr>
      </w:pPr>
      <w:r w:rsidRPr="00165581">
        <w:rPr>
          <w:rStyle w:val="03-Gras"/>
          <w:rFonts w:ascii="Times New Roman" w:hAnsi="Times New Roman" w:cs="Times New Roman"/>
          <w:sz w:val="18"/>
        </w:rPr>
        <w:t xml:space="preserve">Rôle de la mémoire déclarative dans les troubles du langage et de l’apprentissage : Hypothèse compensatoire ? </w:t>
      </w:r>
      <w:r w:rsidR="00F17A20" w:rsidRPr="00165581">
        <w:rPr>
          <w:rStyle w:val="03-Gras"/>
          <w:rFonts w:ascii="Times New Roman" w:hAnsi="Times New Roman" w:cs="Times New Roman"/>
          <w:sz w:val="18"/>
        </w:rPr>
        <w:t xml:space="preserve">motivation </w:t>
      </w:r>
    </w:p>
    <w:p w14:paraId="6ECF309F" w14:textId="42E4843D" w:rsidR="00DE40F3" w:rsidRPr="00165581" w:rsidRDefault="00A16498" w:rsidP="00165581">
      <w:pPr>
        <w:pStyle w:val="21-ResumeFR"/>
        <w:spacing w:line="240" w:lineRule="auto"/>
        <w:rPr>
          <w:rStyle w:val="03-Gras"/>
          <w:rFonts w:ascii="Times New Roman" w:hAnsi="Times New Roman" w:cs="Times New Roman"/>
          <w:b w:val="0"/>
          <w:bCs w:val="0"/>
          <w:sz w:val="16"/>
        </w:rPr>
      </w:pPr>
      <w:r w:rsidRPr="00165581">
        <w:rPr>
          <w:rStyle w:val="03-Gras"/>
          <w:rFonts w:ascii="Times New Roman" w:hAnsi="Times New Roman" w:cs="Times New Roman"/>
          <w:b w:val="0"/>
          <w:bCs w:val="0"/>
          <w:sz w:val="16"/>
        </w:rPr>
        <w:t xml:space="preserve">M. JUCLA </w:t>
      </w:r>
      <w:r w:rsidR="00A57EDE" w:rsidRPr="00165581">
        <w:rPr>
          <w:rStyle w:val="03-Gras"/>
          <w:rFonts w:ascii="Times New Roman" w:hAnsi="Times New Roman" w:cs="Times New Roman"/>
          <w:b w:val="0"/>
          <w:bCs w:val="0"/>
          <w:sz w:val="16"/>
        </w:rPr>
        <w:t>&amp;</w:t>
      </w:r>
      <w:r w:rsidRPr="00165581">
        <w:rPr>
          <w:rStyle w:val="03-Gras"/>
          <w:rFonts w:ascii="Times New Roman" w:hAnsi="Times New Roman" w:cs="Times New Roman"/>
          <w:b w:val="0"/>
          <w:bCs w:val="0"/>
          <w:sz w:val="16"/>
        </w:rPr>
        <w:t xml:space="preserve"> S. MAZIERO</w:t>
      </w:r>
    </w:p>
    <w:p w14:paraId="76A459EA" w14:textId="77777777" w:rsidR="00973494" w:rsidRPr="00165581" w:rsidRDefault="00973494" w:rsidP="00165581">
      <w:pPr>
        <w:pStyle w:val="21-ResumeFR"/>
        <w:spacing w:line="240" w:lineRule="auto"/>
        <w:rPr>
          <w:rStyle w:val="03-Gras"/>
          <w:rFonts w:ascii="Times New Roman" w:hAnsi="Times New Roman" w:cs="Times New Roman"/>
          <w:b w:val="0"/>
          <w:bCs w:val="0"/>
          <w:sz w:val="10"/>
        </w:rPr>
      </w:pPr>
    </w:p>
    <w:p w14:paraId="1A1A5AE6" w14:textId="73DF9B35" w:rsidR="00973494" w:rsidRPr="00165581" w:rsidRDefault="00811260" w:rsidP="00165581">
      <w:pPr>
        <w:pStyle w:val="21-ResumeFR"/>
        <w:spacing w:line="240" w:lineRule="auto"/>
        <w:rPr>
          <w:rStyle w:val="03-Gras"/>
          <w:rFonts w:ascii="Times New Roman" w:hAnsi="Times New Roman" w:cs="Times New Roman"/>
          <w:b w:val="0"/>
          <w:bCs w:val="0"/>
          <w:sz w:val="16"/>
        </w:rPr>
      </w:pPr>
      <w:r w:rsidRPr="00165581">
        <w:rPr>
          <w:rStyle w:val="03-Gras"/>
          <w:rFonts w:ascii="Times New Roman" w:hAnsi="Times New Roman" w:cs="Times New Roman"/>
          <w:sz w:val="18"/>
        </w:rPr>
        <w:t>Résumés des communications orales et affichées</w:t>
      </w:r>
    </w:p>
    <w:p w14:paraId="6BC8B503" w14:textId="77777777" w:rsidR="00A16498" w:rsidRPr="00165581" w:rsidRDefault="00A16498" w:rsidP="00165581">
      <w:pPr>
        <w:pStyle w:val="21-ResumeFR"/>
        <w:spacing w:line="240" w:lineRule="auto"/>
        <w:rPr>
          <w:rStyle w:val="03-Gras"/>
          <w:rFonts w:ascii="Times New Roman" w:hAnsi="Times New Roman" w:cs="Times New Roman"/>
          <w:b w:val="0"/>
          <w:bCs w:val="0"/>
          <w:sz w:val="14"/>
        </w:rPr>
      </w:pPr>
    </w:p>
    <w:p w14:paraId="63D77BB1" w14:textId="0C1BC39D" w:rsidR="00641A2D" w:rsidRPr="00165581" w:rsidRDefault="00641A2D" w:rsidP="00165581">
      <w:pPr>
        <w:pStyle w:val="04-Fonction"/>
        <w:tabs>
          <w:tab w:val="left" w:pos="1117"/>
        </w:tabs>
        <w:spacing w:before="0" w:line="240" w:lineRule="auto"/>
        <w:jc w:val="center"/>
        <w:rPr>
          <w:rStyle w:val="03-Gras"/>
          <w:rFonts w:ascii="Times New Roman" w:hAnsi="Times New Roman" w:cs="Times New Roman"/>
          <w:bCs w:val="0"/>
          <w:sz w:val="18"/>
          <w:u w:val="single"/>
        </w:rPr>
      </w:pPr>
      <w:r w:rsidRPr="00165581">
        <w:rPr>
          <w:rStyle w:val="03-Gras"/>
          <w:rFonts w:ascii="Times New Roman" w:hAnsi="Times New Roman" w:cs="Times New Roman"/>
          <w:bCs w:val="0"/>
          <w:sz w:val="18"/>
          <w:u w:val="single"/>
        </w:rPr>
        <w:t>VARIA</w:t>
      </w:r>
    </w:p>
    <w:p w14:paraId="2EDC620F" w14:textId="144563E2" w:rsidR="005A51A1" w:rsidRPr="00165581" w:rsidRDefault="00C25CF2" w:rsidP="00165581">
      <w:pPr>
        <w:pStyle w:val="NormalWeb"/>
        <w:spacing w:before="0" w:beforeAutospacing="0" w:after="0" w:afterAutospacing="0"/>
        <w:rPr>
          <w:rFonts w:ascii="Times New Roman" w:hAnsi="Times New Roman"/>
          <w:sz w:val="18"/>
          <w:szCs w:val="18"/>
        </w:rPr>
      </w:pPr>
      <w:r w:rsidRPr="00165581">
        <w:rPr>
          <w:rFonts w:ascii="Times New Roman" w:hAnsi="Times New Roman"/>
          <w:b/>
          <w:sz w:val="18"/>
          <w:szCs w:val="18"/>
        </w:rPr>
        <w:t>La pratique de l’examen psychologique chez l’enfant sourd</w:t>
      </w:r>
      <w:r w:rsidR="005A51A1" w:rsidRPr="00165581">
        <w:rPr>
          <w:rFonts w:ascii="Times New Roman" w:hAnsi="Times New Roman"/>
          <w:sz w:val="18"/>
          <w:szCs w:val="18"/>
        </w:rPr>
        <w:br/>
      </w:r>
      <w:r w:rsidR="00585604" w:rsidRPr="00165581">
        <w:rPr>
          <w:rStyle w:val="03-Gras"/>
          <w:rFonts w:ascii="Times New Roman" w:hAnsi="Times New Roman" w:cs="Times New Roman"/>
          <w:b w:val="0"/>
          <w:bCs w:val="0"/>
          <w:sz w:val="18"/>
          <w:szCs w:val="18"/>
        </w:rPr>
        <w:t xml:space="preserve">M.-O. ROUX, </w:t>
      </w:r>
      <w:r w:rsidR="00A57EDE" w:rsidRPr="00165581">
        <w:rPr>
          <w:rStyle w:val="03-Gras"/>
          <w:rFonts w:ascii="Times New Roman" w:hAnsi="Times New Roman" w:cs="Times New Roman"/>
          <w:b w:val="0"/>
          <w:bCs w:val="0"/>
          <w:sz w:val="18"/>
          <w:szCs w:val="18"/>
        </w:rPr>
        <w:t>D. SEBAN-LEFEBVRE &amp;</w:t>
      </w:r>
      <w:r w:rsidR="00585604" w:rsidRPr="00165581">
        <w:rPr>
          <w:rStyle w:val="03-Gras"/>
          <w:rFonts w:ascii="Times New Roman" w:hAnsi="Times New Roman" w:cs="Times New Roman"/>
          <w:b w:val="0"/>
          <w:bCs w:val="0"/>
          <w:sz w:val="18"/>
          <w:szCs w:val="18"/>
        </w:rPr>
        <w:t xml:space="preserve"> C. CLOUARD</w:t>
      </w:r>
    </w:p>
    <w:p w14:paraId="76F17B2E" w14:textId="789D26D2" w:rsidR="00EC46A5" w:rsidRPr="00E0212D" w:rsidRDefault="003F3A32" w:rsidP="00EC46A5">
      <w:pPr>
        <w:ind w:left="567"/>
        <w:jc w:val="center"/>
        <w:rPr>
          <w:rFonts w:eastAsia="Calibri"/>
        </w:rPr>
      </w:pPr>
      <w:hyperlink r:id="rId8" w:history="1">
        <w:r w:rsidR="00EC46A5" w:rsidRPr="00E0212D">
          <w:rPr>
            <w:rFonts w:eastAsia="Calibri"/>
            <w:b/>
            <w:bCs/>
            <w:color w:val="C00000"/>
            <w:sz w:val="32"/>
            <w:szCs w:val="32"/>
            <w:u w:val="single"/>
          </w:rPr>
          <w:t>Acheter le N° 14</w:t>
        </w:r>
        <w:r w:rsidR="00A16498">
          <w:rPr>
            <w:rFonts w:eastAsia="Calibri"/>
            <w:b/>
            <w:bCs/>
            <w:color w:val="C00000"/>
            <w:sz w:val="32"/>
            <w:szCs w:val="32"/>
            <w:u w:val="single"/>
          </w:rPr>
          <w:t>9</w:t>
        </w:r>
      </w:hyperlink>
    </w:p>
    <w:p w14:paraId="290F883A" w14:textId="77777777" w:rsidR="00EC46A5" w:rsidRPr="00E0212D" w:rsidRDefault="00EC46A5" w:rsidP="00EC46A5">
      <w:pPr>
        <w:jc w:val="center"/>
        <w:rPr>
          <w:rFonts w:ascii="Calibri" w:eastAsia="Calibri" w:hAnsi="Calibri"/>
          <w:sz w:val="22"/>
          <w:szCs w:val="22"/>
        </w:rPr>
      </w:pPr>
    </w:p>
    <w:p w14:paraId="53E9DDEE" w14:textId="77777777" w:rsidR="00EC46A5" w:rsidRPr="00E0212D" w:rsidRDefault="003F3A32" w:rsidP="00EC46A5">
      <w:pPr>
        <w:ind w:left="567"/>
        <w:jc w:val="center"/>
        <w:rPr>
          <w:rFonts w:eastAsia="Calibri"/>
          <w:color w:val="C00000"/>
          <w:sz w:val="28"/>
          <w:szCs w:val="28"/>
        </w:rPr>
      </w:pPr>
      <w:hyperlink r:id="rId9" w:history="1">
        <w:r w:rsidR="00EC46A5" w:rsidRPr="00E0212D">
          <w:rPr>
            <w:rFonts w:eastAsia="Calibri"/>
            <w:b/>
            <w:bCs/>
            <w:color w:val="C00000"/>
            <w:sz w:val="32"/>
            <w:szCs w:val="32"/>
            <w:u w:val="single"/>
          </w:rPr>
          <w:t>S’abonner ou se réabonner pour 2017</w:t>
        </w:r>
      </w:hyperlink>
    </w:p>
    <w:p w14:paraId="4DF3CA87" w14:textId="77777777" w:rsidR="00EC46A5" w:rsidRPr="00E0212D" w:rsidRDefault="00EC46A5" w:rsidP="00EC46A5">
      <w:pPr>
        <w:jc w:val="center"/>
        <w:rPr>
          <w:rFonts w:eastAsia="Calibri"/>
          <w:color w:val="000000"/>
        </w:rPr>
      </w:pPr>
    </w:p>
    <w:p w14:paraId="1CAD796F" w14:textId="77777777" w:rsidR="00EC46A5" w:rsidRPr="00E0212D" w:rsidRDefault="00EC46A5" w:rsidP="00EC46A5">
      <w:pPr>
        <w:jc w:val="center"/>
        <w:rPr>
          <w:rFonts w:eastAsia="Calibri"/>
          <w:b/>
          <w:bCs/>
          <w:color w:val="C00000"/>
          <w:sz w:val="28"/>
          <w:szCs w:val="28"/>
        </w:rPr>
      </w:pPr>
      <w:r w:rsidRPr="00E0212D">
        <w:rPr>
          <w:rFonts w:eastAsia="Calibri"/>
          <w:b/>
          <w:bCs/>
          <w:color w:val="C00000"/>
          <w:sz w:val="28"/>
          <w:szCs w:val="28"/>
        </w:rPr>
        <w:t>Vous pouvez aussi télécharger le bon de commande en pièce jointe</w:t>
      </w:r>
    </w:p>
    <w:p w14:paraId="46184960" w14:textId="77777777" w:rsidR="00EC46A5" w:rsidRPr="00165581" w:rsidRDefault="00EC46A5" w:rsidP="00EC46A5">
      <w:pPr>
        <w:jc w:val="center"/>
        <w:rPr>
          <w:rFonts w:eastAsia="Calibri"/>
          <w:color w:val="000000"/>
          <w:sz w:val="12"/>
          <w:szCs w:val="28"/>
        </w:rPr>
      </w:pPr>
    </w:p>
    <w:p w14:paraId="2CC3CE9A" w14:textId="77777777" w:rsidR="00EC46A5" w:rsidRPr="00E0212D" w:rsidRDefault="00EC46A5" w:rsidP="00EC46A5">
      <w:pPr>
        <w:jc w:val="center"/>
        <w:rPr>
          <w:rFonts w:eastAsia="Calibri"/>
          <w:b/>
          <w:bCs/>
          <w:color w:val="C00000"/>
          <w:sz w:val="28"/>
          <w:szCs w:val="28"/>
        </w:rPr>
      </w:pPr>
      <w:r w:rsidRPr="00E0212D">
        <w:rPr>
          <w:rFonts w:eastAsia="Calibri"/>
          <w:b/>
          <w:bCs/>
          <w:color w:val="C00000"/>
          <w:sz w:val="28"/>
          <w:szCs w:val="28"/>
        </w:rPr>
        <w:t>Ce numéro fait partie de l’abonnement 2017, Vol 29 N° 146 à 151</w:t>
      </w:r>
    </w:p>
    <w:p w14:paraId="6ED9C4E8" w14:textId="77777777" w:rsidR="00EC46A5" w:rsidRPr="00165581" w:rsidRDefault="00EC46A5" w:rsidP="00EC46A5">
      <w:pPr>
        <w:ind w:left="567"/>
        <w:rPr>
          <w:rFonts w:eastAsia="Calibri"/>
          <w:sz w:val="18"/>
          <w:szCs w:val="22"/>
        </w:rPr>
      </w:pPr>
    </w:p>
    <w:p w14:paraId="3363E5C1" w14:textId="77777777" w:rsidR="00EC46A5" w:rsidRPr="00165581" w:rsidRDefault="00EC46A5" w:rsidP="00EC46A5">
      <w:pPr>
        <w:jc w:val="center"/>
        <w:rPr>
          <w:rFonts w:eastAsia="Calibri"/>
          <w:b/>
          <w:bCs/>
          <w:color w:val="44546A"/>
          <w:sz w:val="10"/>
          <w:szCs w:val="14"/>
        </w:rPr>
      </w:pPr>
    </w:p>
    <w:p w14:paraId="1A71DF21" w14:textId="77777777" w:rsidR="00EC46A5" w:rsidRPr="00165581" w:rsidRDefault="00EC46A5" w:rsidP="00EC46A5">
      <w:pPr>
        <w:rPr>
          <w:rFonts w:ascii="Arial" w:eastAsia="Calibri" w:hAnsi="Arial" w:cs="Arial"/>
          <w:i/>
          <w:iCs/>
          <w:sz w:val="20"/>
        </w:rPr>
      </w:pPr>
      <w:r w:rsidRPr="00165581">
        <w:rPr>
          <w:rFonts w:ascii="Arial" w:eastAsia="Calibri" w:hAnsi="Arial" w:cs="Arial"/>
          <w:b/>
          <w:bCs/>
          <w:sz w:val="20"/>
        </w:rPr>
        <w:t xml:space="preserve">N° 146 – Les fonctions exécutives chez l’enfant </w:t>
      </w:r>
      <w:r w:rsidRPr="00165581">
        <w:rPr>
          <w:rFonts w:ascii="Arial" w:eastAsia="Calibri" w:hAnsi="Arial" w:cs="Arial"/>
          <w:i/>
          <w:iCs/>
          <w:sz w:val="20"/>
        </w:rPr>
        <w:t>coordonné par le Pr Catherine Billard</w:t>
      </w:r>
    </w:p>
    <w:p w14:paraId="1D89A971" w14:textId="77777777" w:rsidR="00EC46A5" w:rsidRPr="00165581" w:rsidRDefault="00EC46A5" w:rsidP="00EC46A5">
      <w:pPr>
        <w:rPr>
          <w:rFonts w:ascii="Arial" w:eastAsia="Calibri" w:hAnsi="Arial" w:cs="Arial"/>
          <w:i/>
          <w:iCs/>
          <w:sz w:val="20"/>
        </w:rPr>
      </w:pPr>
      <w:r w:rsidRPr="00165581">
        <w:rPr>
          <w:rFonts w:ascii="Arial" w:eastAsia="Calibri" w:hAnsi="Arial" w:cs="Arial"/>
          <w:b/>
          <w:bCs/>
          <w:sz w:val="20"/>
        </w:rPr>
        <w:t xml:space="preserve">N° 147 – Troubles de l’apprentissage du langage écrit et prise en charge multidisciplinaire : de la science à la salle de classe </w:t>
      </w:r>
      <w:r w:rsidRPr="00165581">
        <w:rPr>
          <w:rFonts w:ascii="Arial" w:eastAsia="Calibri" w:hAnsi="Arial" w:cs="Arial"/>
          <w:i/>
          <w:iCs/>
          <w:sz w:val="20"/>
        </w:rPr>
        <w:t xml:space="preserve">Coordonné par K. </w:t>
      </w:r>
      <w:proofErr w:type="spellStart"/>
      <w:r w:rsidRPr="00165581">
        <w:rPr>
          <w:rFonts w:ascii="Arial" w:eastAsia="Calibri" w:hAnsi="Arial" w:cs="Arial"/>
          <w:i/>
          <w:iCs/>
          <w:sz w:val="20"/>
        </w:rPr>
        <w:t>Demet</w:t>
      </w:r>
      <w:proofErr w:type="spellEnd"/>
      <w:r w:rsidRPr="00165581">
        <w:rPr>
          <w:rFonts w:ascii="Arial" w:eastAsia="Calibri" w:hAnsi="Arial" w:cs="Arial"/>
          <w:i/>
          <w:iCs/>
          <w:sz w:val="20"/>
        </w:rPr>
        <w:t xml:space="preserve"> et A. </w:t>
      </w:r>
      <w:proofErr w:type="spellStart"/>
      <w:r w:rsidRPr="00165581">
        <w:rPr>
          <w:rFonts w:ascii="Arial" w:eastAsia="Calibri" w:hAnsi="Arial" w:cs="Arial"/>
          <w:i/>
          <w:iCs/>
          <w:sz w:val="20"/>
        </w:rPr>
        <w:t>Kipffer-Piquard</w:t>
      </w:r>
      <w:proofErr w:type="spellEnd"/>
    </w:p>
    <w:p w14:paraId="45360D39" w14:textId="77777777" w:rsidR="00EC46A5" w:rsidRPr="00165581" w:rsidRDefault="00EC46A5" w:rsidP="00EC46A5">
      <w:pPr>
        <w:tabs>
          <w:tab w:val="left" w:pos="15744"/>
        </w:tabs>
        <w:rPr>
          <w:rFonts w:ascii="Arial" w:eastAsia="Calibri" w:hAnsi="Arial" w:cs="Arial"/>
          <w:i/>
          <w:iCs/>
          <w:color w:val="000000"/>
          <w:sz w:val="20"/>
        </w:rPr>
      </w:pPr>
      <w:r w:rsidRPr="00165581">
        <w:rPr>
          <w:rFonts w:ascii="Arial" w:eastAsia="Calibri" w:hAnsi="Arial" w:cs="Arial"/>
          <w:b/>
          <w:bCs/>
          <w:sz w:val="20"/>
        </w:rPr>
        <w:t xml:space="preserve">N° 148 - </w:t>
      </w:r>
      <w:r w:rsidRPr="00165581">
        <w:rPr>
          <w:rFonts w:ascii="Arial" w:eastAsia="Calibri" w:hAnsi="Arial" w:cs="Arial"/>
          <w:b/>
          <w:bCs/>
          <w:color w:val="000000"/>
          <w:sz w:val="20"/>
        </w:rPr>
        <w:t xml:space="preserve">Dyslexies-dysorthographies – Intervention </w:t>
      </w:r>
      <w:r w:rsidRPr="00165581">
        <w:rPr>
          <w:rFonts w:ascii="Arial" w:eastAsia="Calibri" w:hAnsi="Arial" w:cs="Arial"/>
          <w:i/>
          <w:iCs/>
          <w:sz w:val="20"/>
        </w:rPr>
        <w:t>coordonné</w:t>
      </w:r>
      <w:r w:rsidRPr="00165581">
        <w:rPr>
          <w:rFonts w:ascii="Arial" w:eastAsia="Calibri" w:hAnsi="Arial" w:cs="Arial"/>
          <w:i/>
          <w:iCs/>
          <w:color w:val="000000"/>
          <w:sz w:val="20"/>
        </w:rPr>
        <w:t xml:space="preserve"> par B. </w:t>
      </w:r>
      <w:proofErr w:type="spellStart"/>
      <w:r w:rsidRPr="00165581">
        <w:rPr>
          <w:rFonts w:ascii="Arial" w:eastAsia="Calibri" w:hAnsi="Arial" w:cs="Arial"/>
          <w:i/>
          <w:iCs/>
          <w:color w:val="000000"/>
          <w:sz w:val="20"/>
        </w:rPr>
        <w:t>Stanké</w:t>
      </w:r>
      <w:proofErr w:type="spellEnd"/>
      <w:r w:rsidRPr="00165581">
        <w:rPr>
          <w:rFonts w:ascii="Arial" w:eastAsia="Calibri" w:hAnsi="Arial" w:cs="Arial"/>
          <w:i/>
          <w:iCs/>
          <w:color w:val="000000"/>
          <w:sz w:val="20"/>
        </w:rPr>
        <w:t>, Université de Montréal et A. Desrochers, Université d’Ottawa</w:t>
      </w:r>
    </w:p>
    <w:p w14:paraId="45A60DE3" w14:textId="77777777" w:rsidR="00EC46A5" w:rsidRPr="00165581" w:rsidRDefault="00EC46A5" w:rsidP="00EC46A5">
      <w:pPr>
        <w:rPr>
          <w:rFonts w:ascii="Arial" w:eastAsia="Calibri" w:hAnsi="Arial" w:cs="Arial"/>
          <w:b/>
          <w:bCs/>
          <w:sz w:val="20"/>
        </w:rPr>
      </w:pPr>
      <w:r w:rsidRPr="00165581">
        <w:rPr>
          <w:rFonts w:ascii="Arial" w:eastAsia="Calibri" w:hAnsi="Arial" w:cs="Arial"/>
          <w:b/>
          <w:bCs/>
          <w:sz w:val="20"/>
        </w:rPr>
        <w:t xml:space="preserve">N° 149 - Mémoire(s) et Apprentissage </w:t>
      </w:r>
      <w:r w:rsidRPr="00165581">
        <w:rPr>
          <w:rFonts w:ascii="Arial" w:eastAsia="Calibri" w:hAnsi="Arial" w:cs="Arial"/>
          <w:i/>
          <w:iCs/>
          <w:sz w:val="20"/>
        </w:rPr>
        <w:t xml:space="preserve">Coordonné par Pr </w:t>
      </w:r>
      <w:proofErr w:type="spellStart"/>
      <w:r w:rsidRPr="00165581">
        <w:rPr>
          <w:rFonts w:ascii="Arial" w:eastAsia="Calibri" w:hAnsi="Arial" w:cs="Arial"/>
          <w:i/>
          <w:iCs/>
          <w:sz w:val="20"/>
        </w:rPr>
        <w:t>Y.Chaix</w:t>
      </w:r>
      <w:proofErr w:type="spellEnd"/>
      <w:r w:rsidRPr="00165581">
        <w:rPr>
          <w:rFonts w:ascii="Arial" w:eastAsia="Calibri" w:hAnsi="Arial" w:cs="Arial"/>
          <w:i/>
          <w:iCs/>
          <w:sz w:val="20"/>
        </w:rPr>
        <w:t xml:space="preserve">, J.M. Albaret et </w:t>
      </w:r>
      <w:proofErr w:type="spellStart"/>
      <w:r w:rsidRPr="00165581">
        <w:rPr>
          <w:rFonts w:ascii="Arial" w:eastAsia="Calibri" w:hAnsi="Arial" w:cs="Arial"/>
          <w:i/>
          <w:iCs/>
          <w:sz w:val="20"/>
        </w:rPr>
        <w:t>M.Biotteau</w:t>
      </w:r>
      <w:proofErr w:type="spellEnd"/>
    </w:p>
    <w:p w14:paraId="0E6F9090" w14:textId="77777777" w:rsidR="00EC46A5" w:rsidRPr="00165581" w:rsidRDefault="00EC46A5" w:rsidP="00EC46A5">
      <w:pPr>
        <w:rPr>
          <w:rFonts w:eastAsia="Calibri"/>
          <w:i/>
          <w:iCs/>
          <w:sz w:val="22"/>
          <w:szCs w:val="28"/>
        </w:rPr>
      </w:pPr>
      <w:r w:rsidRPr="00165581">
        <w:rPr>
          <w:rFonts w:ascii="Arial" w:eastAsia="Calibri" w:hAnsi="Arial" w:cs="Arial"/>
          <w:b/>
          <w:bCs/>
          <w:sz w:val="20"/>
        </w:rPr>
        <w:t xml:space="preserve">N° 150 - Quelle scolarisation pour les élèves autistes dans les pays francophones ? </w:t>
      </w:r>
      <w:r w:rsidRPr="00165581">
        <w:rPr>
          <w:rFonts w:ascii="Arial" w:eastAsia="Calibri" w:hAnsi="Arial" w:cs="Arial"/>
          <w:i/>
          <w:iCs/>
          <w:sz w:val="20"/>
        </w:rPr>
        <w:t>Coordonné par le C. Philip</w:t>
      </w:r>
    </w:p>
    <w:p w14:paraId="6909A8A5" w14:textId="77777777" w:rsidR="00EC46A5" w:rsidRPr="00165581" w:rsidRDefault="00EC46A5" w:rsidP="00EC46A5">
      <w:pPr>
        <w:rPr>
          <w:rFonts w:eastAsia="Calibri"/>
          <w:i/>
          <w:iCs/>
          <w:sz w:val="22"/>
          <w:szCs w:val="28"/>
        </w:rPr>
      </w:pPr>
      <w:r w:rsidRPr="00165581">
        <w:rPr>
          <w:rFonts w:ascii="Arial" w:eastAsia="Calibri" w:hAnsi="Arial" w:cs="Arial"/>
          <w:b/>
          <w:bCs/>
          <w:sz w:val="20"/>
        </w:rPr>
        <w:t xml:space="preserve">N° 151 – Compensation de la dyspraxie / accompagnement à l'école </w:t>
      </w:r>
      <w:r w:rsidRPr="00165581">
        <w:rPr>
          <w:rFonts w:ascii="Arial" w:eastAsia="Calibri" w:hAnsi="Arial" w:cs="Arial"/>
          <w:i/>
          <w:iCs/>
          <w:sz w:val="20"/>
        </w:rPr>
        <w:t>Coordonné par le Pr C. Huron</w:t>
      </w:r>
    </w:p>
    <w:p w14:paraId="3297B4F5" w14:textId="77777777" w:rsidR="00EC46A5" w:rsidRPr="00165581" w:rsidRDefault="00EC46A5" w:rsidP="00EC46A5">
      <w:pPr>
        <w:rPr>
          <w:rFonts w:ascii="Arial" w:eastAsia="Calibri" w:hAnsi="Arial" w:cs="Arial"/>
          <w:i/>
          <w:iCs/>
          <w:sz w:val="12"/>
          <w:szCs w:val="16"/>
        </w:rPr>
      </w:pPr>
    </w:p>
    <w:p w14:paraId="0105EDE1" w14:textId="77777777" w:rsidR="00EC46A5" w:rsidRPr="00165581" w:rsidRDefault="00EC46A5" w:rsidP="00EC46A5">
      <w:pPr>
        <w:rPr>
          <w:rFonts w:ascii="Arial" w:eastAsia="Calibri" w:hAnsi="Arial" w:cs="Arial"/>
          <w:b/>
          <w:bCs/>
          <w:sz w:val="2"/>
          <w:szCs w:val="6"/>
        </w:rPr>
      </w:pPr>
    </w:p>
    <w:p w14:paraId="5B83802B" w14:textId="77777777" w:rsidR="00EC46A5" w:rsidRPr="00165581" w:rsidRDefault="00EC46A5" w:rsidP="00EC46A5">
      <w:pPr>
        <w:rPr>
          <w:rFonts w:ascii="Arial" w:eastAsia="Calibri" w:hAnsi="Arial" w:cs="Arial"/>
          <w:i/>
          <w:iCs/>
          <w:sz w:val="22"/>
          <w:szCs w:val="28"/>
        </w:rPr>
      </w:pPr>
      <w:r w:rsidRPr="00165581">
        <w:rPr>
          <w:rFonts w:ascii="Arial" w:eastAsia="Calibri" w:hAnsi="Arial" w:cs="Arial"/>
          <w:i/>
          <w:iCs/>
          <w:sz w:val="22"/>
          <w:szCs w:val="28"/>
        </w:rPr>
        <w:t>Et bien d’autres choses encore….</w:t>
      </w:r>
    </w:p>
    <w:p w14:paraId="5ED8CAA3" w14:textId="77777777" w:rsidR="00EC46A5" w:rsidRPr="00165581" w:rsidRDefault="00EC46A5" w:rsidP="00EC46A5">
      <w:pPr>
        <w:ind w:left="567"/>
        <w:jc w:val="center"/>
        <w:rPr>
          <w:rFonts w:eastAsia="Calibri"/>
          <w:sz w:val="12"/>
        </w:rPr>
      </w:pPr>
    </w:p>
    <w:p w14:paraId="3DE2AC6D" w14:textId="77777777" w:rsidR="00EC46A5" w:rsidRPr="00E0212D" w:rsidRDefault="003F3A32" w:rsidP="00EC46A5">
      <w:pPr>
        <w:jc w:val="center"/>
        <w:rPr>
          <w:rFonts w:eastAsia="Calibri"/>
          <w:i/>
          <w:iCs/>
          <w14:cntxtAlts/>
        </w:rPr>
      </w:pPr>
      <w:hyperlink r:id="rId10" w:history="1">
        <w:r w:rsidR="00EC46A5" w:rsidRPr="00E0212D">
          <w:rPr>
            <w:rFonts w:eastAsia="Calibri"/>
            <w:b/>
            <w:bCs/>
            <w:i/>
            <w:iCs/>
            <w:color w:val="C00000"/>
            <w:sz w:val="32"/>
            <w:szCs w:val="32"/>
            <w:u w:val="single"/>
            <w14:cntxtAlts/>
          </w:rPr>
          <w:t>Abonnez-vous</w:t>
        </w:r>
      </w:hyperlink>
      <w:r w:rsidR="00EC46A5" w:rsidRPr="00E0212D">
        <w:rPr>
          <w:rFonts w:eastAsia="Calibri"/>
          <w:b/>
          <w:bCs/>
          <w:i/>
          <w:iCs/>
          <w:color w:val="C00000"/>
          <w:sz w:val="32"/>
          <w:szCs w:val="32"/>
          <w14:cntxtAlts/>
        </w:rPr>
        <w:t xml:space="preserve"> </w:t>
      </w:r>
      <w:r w:rsidR="00EC46A5" w:rsidRPr="00E0212D">
        <w:rPr>
          <w:rFonts w:eastAsia="Calibri"/>
          <w:b/>
          <w:bCs/>
          <w:i/>
          <w:iCs/>
          <w:color w:val="000000"/>
          <w:sz w:val="28"/>
          <w:szCs w:val="28"/>
          <w14:cntxtAlts/>
        </w:rPr>
        <w:t xml:space="preserve">et </w:t>
      </w:r>
      <w:r w:rsidR="00EC46A5" w:rsidRPr="00E0212D">
        <w:rPr>
          <w:rFonts w:eastAsia="Calibri"/>
          <w:b/>
          <w:bCs/>
          <w:i/>
          <w:iCs/>
          <w:sz w:val="28"/>
          <w:szCs w:val="28"/>
          <w14:cntxtAlts/>
        </w:rPr>
        <w:t xml:space="preserve">recevez tous les numéros de l’année 2017, </w:t>
      </w:r>
    </w:p>
    <w:p w14:paraId="3BFDA9F0" w14:textId="77777777" w:rsidR="00EC46A5" w:rsidRPr="00E0212D" w:rsidRDefault="00EC46A5" w:rsidP="00EC46A5">
      <w:pPr>
        <w:jc w:val="center"/>
        <w:rPr>
          <w:rFonts w:eastAsia="Calibri"/>
          <w14:ligatures w14:val="standard"/>
          <w14:cntxtAlts/>
        </w:rPr>
      </w:pPr>
      <w:r w:rsidRPr="00E0212D">
        <w:rPr>
          <w:rFonts w:eastAsia="Calibri"/>
          <w:b/>
          <w:bCs/>
          <w:i/>
          <w:iCs/>
          <w:sz w:val="28"/>
          <w:szCs w:val="28"/>
          <w14:cntxtAlts/>
        </w:rPr>
        <w:t>Vol 28, N° 146 à 151</w:t>
      </w:r>
    </w:p>
    <w:p w14:paraId="0D6D3BF3" w14:textId="77777777" w:rsidR="00EC46A5" w:rsidRPr="00E0212D" w:rsidRDefault="00EC46A5" w:rsidP="00EC46A5">
      <w:pPr>
        <w:jc w:val="center"/>
        <w:rPr>
          <w:rFonts w:eastAsia="Calibri"/>
          <w:b/>
          <w:bCs/>
          <w:i/>
          <w:iCs/>
          <w:color w:val="000000"/>
          <w:sz w:val="28"/>
          <w:szCs w:val="28"/>
          <w14:cntxtAlts/>
        </w:rPr>
      </w:pPr>
      <w:r w:rsidRPr="00E0212D">
        <w:rPr>
          <w:rFonts w:eastAsia="Calibri"/>
          <w:b/>
          <w:bCs/>
          <w:i/>
          <w:iCs/>
          <w:color w:val="000000"/>
          <w:sz w:val="28"/>
          <w:szCs w:val="28"/>
          <w14:cntxtAlts/>
        </w:rPr>
        <w:t xml:space="preserve">Vous bénéficierez également, si vous relevez du tarif « PROEFESSIONEL » ou « ETUDIANT» d’un tarif très préférentiel </w:t>
      </w:r>
    </w:p>
    <w:p w14:paraId="32A19200" w14:textId="77777777" w:rsidR="00EC46A5" w:rsidRPr="00E0212D" w:rsidRDefault="00EC46A5" w:rsidP="00EC46A5">
      <w:pPr>
        <w:jc w:val="center"/>
        <w:rPr>
          <w:rFonts w:eastAsia="Calibri"/>
          <w:b/>
          <w:bCs/>
          <w:i/>
          <w:iCs/>
          <w:color w:val="000000"/>
          <w:sz w:val="28"/>
          <w:szCs w:val="28"/>
          <w14:cntxtAlts/>
        </w:rPr>
      </w:pPr>
      <w:proofErr w:type="gramStart"/>
      <w:r w:rsidRPr="00E0212D">
        <w:rPr>
          <w:rFonts w:eastAsia="Calibri"/>
          <w:b/>
          <w:bCs/>
          <w:i/>
          <w:iCs/>
          <w:color w:val="000000"/>
          <w:sz w:val="28"/>
          <w:szCs w:val="28"/>
          <w14:cntxtAlts/>
        </w:rPr>
        <w:t>sur</w:t>
      </w:r>
      <w:proofErr w:type="gramEnd"/>
      <w:r w:rsidRPr="00E0212D">
        <w:rPr>
          <w:rFonts w:eastAsia="Calibri"/>
          <w:b/>
          <w:bCs/>
          <w:i/>
          <w:iCs/>
          <w:color w:val="000000"/>
          <w:sz w:val="28"/>
          <w:szCs w:val="28"/>
          <w14:cntxtAlts/>
        </w:rPr>
        <w:t xml:space="preserve"> les </w:t>
      </w:r>
      <w:hyperlink r:id="rId11" w:history="1">
        <w:r w:rsidRPr="00E0212D">
          <w:rPr>
            <w:rFonts w:eastAsia="Calibri"/>
            <w:b/>
            <w:bCs/>
            <w:i/>
            <w:iCs/>
            <w:color w:val="C00000"/>
            <w:sz w:val="28"/>
            <w:szCs w:val="28"/>
            <w:u w:val="single"/>
            <w14:cntxtAlts/>
          </w:rPr>
          <w:t>N° des années précédentes</w:t>
        </w:r>
        <w:r w:rsidRPr="00E0212D">
          <w:rPr>
            <w:rFonts w:eastAsia="Calibri"/>
            <w:b/>
            <w:bCs/>
            <w:i/>
            <w:iCs/>
            <w:color w:val="0000FF"/>
            <w:sz w:val="28"/>
            <w:szCs w:val="28"/>
            <w:u w:val="single"/>
            <w14:cntxtAlts/>
          </w:rPr>
          <w:t>.</w:t>
        </w:r>
      </w:hyperlink>
      <w:r w:rsidRPr="00E0212D">
        <w:rPr>
          <w:rFonts w:eastAsia="Calibri"/>
          <w:b/>
          <w:bCs/>
          <w:i/>
          <w:iCs/>
          <w:color w:val="000000"/>
          <w:sz w:val="28"/>
          <w:szCs w:val="28"/>
          <w14:cntxtAlts/>
        </w:rPr>
        <w:t xml:space="preserve"> </w:t>
      </w:r>
    </w:p>
    <w:p w14:paraId="7B6AD0BB" w14:textId="77777777" w:rsidR="00EC46A5" w:rsidRPr="00E0212D" w:rsidRDefault="00EC46A5" w:rsidP="00EC46A5">
      <w:pPr>
        <w:jc w:val="center"/>
        <w:rPr>
          <w:rFonts w:eastAsia="Calibri"/>
          <w:color w:val="000000"/>
          <w14:ligatures w14:val="standard"/>
          <w14:cntxtAlts/>
        </w:rPr>
      </w:pPr>
      <w:r w:rsidRPr="00E0212D">
        <w:rPr>
          <w:rFonts w:eastAsia="Calibri"/>
          <w:b/>
          <w:bCs/>
          <w:i/>
          <w:iCs/>
          <w:color w:val="000000"/>
          <w:sz w:val="28"/>
          <w:szCs w:val="28"/>
          <w14:cntxtAlts/>
        </w:rPr>
        <w:t>Et</w:t>
      </w:r>
    </w:p>
    <w:p w14:paraId="4BD681C1" w14:textId="77777777" w:rsidR="00EC46A5" w:rsidRPr="00E0212D" w:rsidRDefault="003F3A32" w:rsidP="00EC46A5">
      <w:pPr>
        <w:jc w:val="center"/>
        <w:rPr>
          <w:rFonts w:eastAsia="Calibri"/>
          <w:color w:val="000000"/>
          <w14:ligatures w14:val="standard"/>
          <w14:cntxtAlts/>
        </w:rPr>
      </w:pPr>
      <w:hyperlink r:id="rId12" w:history="1">
        <w:r w:rsidR="00EC46A5" w:rsidRPr="00E0212D">
          <w:rPr>
            <w:rFonts w:eastAsia="Calibri"/>
            <w:b/>
            <w:bCs/>
            <w:i/>
            <w:iCs/>
            <w:color w:val="C00000"/>
            <w:sz w:val="28"/>
            <w:szCs w:val="28"/>
            <w:u w:val="single"/>
            <w14:cntxtAlts/>
          </w:rPr>
          <w:t>10% sur les formations ANAE</w:t>
        </w:r>
      </w:hyperlink>
    </w:p>
    <w:p w14:paraId="7F3CB1A2" w14:textId="77777777" w:rsidR="00EC46A5" w:rsidRPr="00E0212D" w:rsidRDefault="00EC46A5" w:rsidP="00EC46A5">
      <w:pPr>
        <w:jc w:val="center"/>
        <w:rPr>
          <w:rFonts w:eastAsia="Calibri"/>
          <w:color w:val="000000"/>
          <w14:ligatures w14:val="standard"/>
          <w14:cntxtAlts/>
        </w:rPr>
      </w:pPr>
    </w:p>
    <w:p w14:paraId="5677A2F7" w14:textId="77777777" w:rsidR="00EC46A5" w:rsidRPr="00165581" w:rsidRDefault="00EC46A5" w:rsidP="00EC46A5">
      <w:pPr>
        <w:jc w:val="center"/>
        <w:rPr>
          <w:rFonts w:eastAsia="Calibri"/>
          <w:color w:val="000000"/>
          <w:sz w:val="2"/>
          <w14:ligatures w14:val="standard"/>
          <w14:cntxtAlts/>
        </w:rPr>
      </w:pPr>
    </w:p>
    <w:p w14:paraId="46B3B506" w14:textId="77777777" w:rsidR="00EC46A5" w:rsidRPr="00E0212D" w:rsidRDefault="003F3A32" w:rsidP="00EC46A5">
      <w:pPr>
        <w:jc w:val="center"/>
        <w:rPr>
          <w:rFonts w:eastAsia="Calibri"/>
          <w:b/>
          <w:color w:val="C00000"/>
          <w:sz w:val="32"/>
          <w14:ligatures w14:val="standard"/>
          <w14:cntxtAlts/>
        </w:rPr>
      </w:pPr>
      <w:hyperlink r:id="rId13" w:history="1">
        <w:r w:rsidR="00EC46A5" w:rsidRPr="00E0212D">
          <w:rPr>
            <w:rFonts w:eastAsia="Calibri"/>
            <w:b/>
            <w:color w:val="C00000"/>
            <w:sz w:val="32"/>
            <w:u w:val="single"/>
            <w14:ligatures w14:val="standard"/>
            <w14:cntxtAlts/>
          </w:rPr>
          <w:t>PROGRAMME ANAE formations 2018</w:t>
        </w:r>
      </w:hyperlink>
    </w:p>
    <w:p w14:paraId="7734721B" w14:textId="77777777" w:rsidR="00EC46A5" w:rsidRPr="00E0212D" w:rsidRDefault="00EC46A5" w:rsidP="00EC46A5">
      <w:pPr>
        <w:ind w:left="567"/>
        <w:jc w:val="center"/>
        <w:rPr>
          <w:rFonts w:eastAsia="Calibri"/>
        </w:rPr>
      </w:pPr>
    </w:p>
    <w:p w14:paraId="31CF3038" w14:textId="77777777" w:rsidR="00EC46A5" w:rsidRPr="00E0212D" w:rsidRDefault="003F3A32" w:rsidP="00EC46A5">
      <w:pPr>
        <w:autoSpaceDE w:val="0"/>
        <w:autoSpaceDN w:val="0"/>
        <w:jc w:val="center"/>
        <w:rPr>
          <w:rFonts w:eastAsia="Calibri"/>
          <w:color w:val="C00000"/>
        </w:rPr>
      </w:pPr>
      <w:hyperlink r:id="rId14" w:history="1">
        <w:r w:rsidR="00EC46A5" w:rsidRPr="00E0212D">
          <w:rPr>
            <w:rFonts w:ascii="Calibri" w:eastAsia="Calibri" w:hAnsi="Calibri"/>
            <w:b/>
            <w:bCs/>
            <w:color w:val="C00000"/>
            <w:sz w:val="32"/>
            <w:szCs w:val="32"/>
            <w:u w:val="single"/>
          </w:rPr>
          <w:t>Site ANAE formations</w:t>
        </w:r>
      </w:hyperlink>
    </w:p>
    <w:p w14:paraId="7479A63D" w14:textId="77777777" w:rsidR="00EC46A5" w:rsidRPr="00E0212D" w:rsidRDefault="00EC46A5" w:rsidP="00EC46A5">
      <w:pPr>
        <w:autoSpaceDE w:val="0"/>
        <w:autoSpaceDN w:val="0"/>
        <w:jc w:val="center"/>
        <w:rPr>
          <w:rFonts w:ascii="Calibri" w:eastAsia="Calibri" w:hAnsi="Calibri"/>
          <w:b/>
          <w:bCs/>
          <w:color w:val="1F497D"/>
          <w:sz w:val="22"/>
          <w:szCs w:val="22"/>
        </w:rPr>
      </w:pPr>
    </w:p>
    <w:p w14:paraId="79EB6074" w14:textId="77777777" w:rsidR="00EC46A5" w:rsidRPr="00E0212D" w:rsidRDefault="00EC46A5" w:rsidP="00EC46A5">
      <w:pPr>
        <w:jc w:val="center"/>
        <w:rPr>
          <w:rFonts w:ascii="Calibri" w:eastAsia="Calibri" w:hAnsi="Calibri"/>
        </w:rPr>
      </w:pPr>
      <w:r w:rsidRPr="00E0212D">
        <w:rPr>
          <w:rFonts w:ascii="Calibri" w:eastAsia="Calibri" w:hAnsi="Calibri"/>
          <w:b/>
          <w:bCs/>
          <w:color w:val="B00004"/>
          <w:sz w:val="32"/>
          <w:szCs w:val="32"/>
        </w:rPr>
        <w:t>Inscriptions / Renseignements :</w:t>
      </w:r>
      <w:proofErr w:type="gramStart"/>
      <w:r w:rsidRPr="00E0212D">
        <w:rPr>
          <w:rFonts w:ascii="Calibri" w:eastAsia="Calibri" w:hAnsi="Calibri"/>
          <w:b/>
          <w:bCs/>
          <w:color w:val="B00004"/>
          <w:sz w:val="38"/>
          <w:szCs w:val="38"/>
        </w:rPr>
        <w:t xml:space="preserve">  </w:t>
      </w:r>
      <w:r w:rsidRPr="00E0212D">
        <w:rPr>
          <w:rFonts w:ascii="Calibri" w:eastAsia="Calibri" w:hAnsi="Calibri"/>
          <w:b/>
          <w:bCs/>
          <w:sz w:val="30"/>
          <w:szCs w:val="30"/>
        </w:rPr>
        <w:t>Aude</w:t>
      </w:r>
      <w:proofErr w:type="gramEnd"/>
      <w:r w:rsidRPr="00E0212D">
        <w:rPr>
          <w:rFonts w:ascii="Calibri" w:eastAsia="Calibri" w:hAnsi="Calibri"/>
          <w:b/>
          <w:bCs/>
          <w:sz w:val="30"/>
          <w:szCs w:val="30"/>
        </w:rPr>
        <w:t xml:space="preserve"> </w:t>
      </w:r>
      <w:proofErr w:type="spellStart"/>
      <w:r w:rsidRPr="00E0212D">
        <w:rPr>
          <w:rFonts w:ascii="Calibri" w:eastAsia="Calibri" w:hAnsi="Calibri"/>
          <w:b/>
          <w:bCs/>
          <w:sz w:val="30"/>
          <w:szCs w:val="30"/>
        </w:rPr>
        <w:t>Bioche</w:t>
      </w:r>
      <w:proofErr w:type="spellEnd"/>
      <w:r w:rsidRPr="00E0212D">
        <w:rPr>
          <w:rFonts w:ascii="Calibri" w:eastAsia="Calibri" w:hAnsi="Calibri"/>
          <w:b/>
          <w:bCs/>
          <w:sz w:val="30"/>
          <w:szCs w:val="30"/>
        </w:rPr>
        <w:t xml:space="preserve"> : </w:t>
      </w:r>
      <w:r w:rsidRPr="00E0212D">
        <w:rPr>
          <w:rFonts w:ascii="Calibri" w:eastAsia="Calibri" w:hAnsi="Calibri"/>
          <w:sz w:val="30"/>
          <w:szCs w:val="30"/>
        </w:rPr>
        <w:t xml:space="preserve">06 63 61 85 22 / </w:t>
      </w:r>
      <w:hyperlink r:id="rId15" w:history="1">
        <w:r w:rsidRPr="00E0212D">
          <w:rPr>
            <w:rFonts w:ascii="Calibri" w:eastAsia="Calibri" w:hAnsi="Calibri"/>
            <w:color w:val="0229A7"/>
            <w:sz w:val="30"/>
            <w:szCs w:val="30"/>
            <w:u w:val="single"/>
          </w:rPr>
          <w:t>inscription@anae-formations.com</w:t>
        </w:r>
      </w:hyperlink>
    </w:p>
    <w:p w14:paraId="55E02A5D" w14:textId="77777777" w:rsidR="00EC46A5" w:rsidRPr="00E0212D" w:rsidRDefault="00EC46A5" w:rsidP="00EC46A5">
      <w:pPr>
        <w:rPr>
          <w:rFonts w:eastAsia="Calibri"/>
          <w:color w:val="C00000"/>
          <w:sz w:val="28"/>
          <w:szCs w:val="28"/>
        </w:rPr>
      </w:pPr>
    </w:p>
    <w:p w14:paraId="13C6251A" w14:textId="77777777" w:rsidR="00EC46A5" w:rsidRPr="00E0212D" w:rsidRDefault="00EC46A5" w:rsidP="00EC46A5">
      <w:pPr>
        <w:rPr>
          <w:rFonts w:eastAsia="Calibri"/>
          <w:sz w:val="22"/>
          <w:szCs w:val="22"/>
        </w:rPr>
      </w:pPr>
    </w:p>
    <w:p w14:paraId="338A1ED4" w14:textId="77777777" w:rsidR="00EC46A5" w:rsidRPr="00E0212D" w:rsidRDefault="00EC46A5" w:rsidP="00EC46A5">
      <w:pPr>
        <w:jc w:val="center"/>
        <w:rPr>
          <w:rFonts w:eastAsia="Calibri"/>
        </w:rPr>
      </w:pPr>
      <w:r w:rsidRPr="00E0212D">
        <w:rPr>
          <w:rFonts w:eastAsia="Calibri"/>
          <w:noProof/>
          <w:lang w:eastAsia="fr-FR"/>
        </w:rPr>
        <w:drawing>
          <wp:inline distT="0" distB="0" distL="0" distR="0" wp14:anchorId="054F35C9" wp14:editId="4ACF1452">
            <wp:extent cx="1524000" cy="320040"/>
            <wp:effectExtent l="0" t="0" r="0" b="3810"/>
            <wp:docPr id="2" name="Image 2" descr="cid:image004.jpg@01D127C9.E20716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4.jpg@01D127C9.E207160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320040"/>
                    </a:xfrm>
                    <a:prstGeom prst="rect">
                      <a:avLst/>
                    </a:prstGeom>
                    <a:noFill/>
                    <a:ln>
                      <a:noFill/>
                    </a:ln>
                  </pic:spPr>
                </pic:pic>
              </a:graphicData>
            </a:graphic>
          </wp:inline>
        </w:drawing>
      </w:r>
    </w:p>
    <w:p w14:paraId="54CD7053" w14:textId="77777777" w:rsidR="00EC46A5" w:rsidRPr="00E0212D" w:rsidRDefault="00EC46A5" w:rsidP="00EC46A5">
      <w:pPr>
        <w:jc w:val="center"/>
        <w:rPr>
          <w:rFonts w:eastAsia="Calibri"/>
        </w:rPr>
      </w:pPr>
      <w:r w:rsidRPr="00E0212D">
        <w:rPr>
          <w:rFonts w:eastAsia="Calibri"/>
          <w:color w:val="1F497D"/>
        </w:rPr>
        <w:t> </w:t>
      </w:r>
    </w:p>
    <w:p w14:paraId="685AFAAA" w14:textId="77777777" w:rsidR="00EC46A5" w:rsidRPr="00E0212D" w:rsidRDefault="00EC46A5" w:rsidP="00EC46A5">
      <w:pPr>
        <w:jc w:val="center"/>
        <w:rPr>
          <w:rFonts w:eastAsia="Calibri"/>
        </w:rPr>
      </w:pPr>
      <w:r w:rsidRPr="00E0212D">
        <w:rPr>
          <w:rFonts w:eastAsia="Calibri"/>
          <w:noProof/>
          <w:lang w:eastAsia="fr-FR"/>
        </w:rPr>
        <w:drawing>
          <wp:inline distT="0" distB="0" distL="0" distR="0" wp14:anchorId="054B5F64" wp14:editId="37972B63">
            <wp:extent cx="1752600" cy="1127760"/>
            <wp:effectExtent l="0" t="0" r="0" b="0"/>
            <wp:docPr id="3" name="Image 2" descr="cid:image007.jpg@01D127C9.E207160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7.jpg@01D127C9.E207160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2600" cy="1127760"/>
                    </a:xfrm>
                    <a:prstGeom prst="rect">
                      <a:avLst/>
                    </a:prstGeom>
                    <a:noFill/>
                    <a:ln>
                      <a:noFill/>
                    </a:ln>
                  </pic:spPr>
                </pic:pic>
              </a:graphicData>
            </a:graphic>
          </wp:inline>
        </w:drawing>
      </w:r>
      <w:r w:rsidRPr="00E0212D">
        <w:rPr>
          <w:rFonts w:eastAsia="Calibri"/>
        </w:rPr>
        <w:t> </w:t>
      </w:r>
    </w:p>
    <w:p w14:paraId="77134F38" w14:textId="77777777" w:rsidR="00EC46A5" w:rsidRDefault="00EC46A5" w:rsidP="005A51A1">
      <w:pPr>
        <w:pStyle w:val="NormalWeb"/>
        <w:rPr>
          <w:rFonts w:ascii="Times New Roman" w:hAnsi="Times New Roman"/>
        </w:rPr>
      </w:pPr>
    </w:p>
    <w:p w14:paraId="3AD3191F" w14:textId="77777777" w:rsidR="00EC46A5" w:rsidRPr="005A51A1" w:rsidRDefault="00EC46A5" w:rsidP="005A51A1">
      <w:pPr>
        <w:pStyle w:val="NormalWeb"/>
        <w:rPr>
          <w:rFonts w:ascii="Times New Roman" w:hAnsi="Times New Roman"/>
        </w:rPr>
      </w:pPr>
    </w:p>
    <w:sectPr w:rsidR="00EC46A5" w:rsidRPr="005A51A1" w:rsidSect="00165581">
      <w:pgSz w:w="11900" w:h="16840"/>
      <w:pgMar w:top="1417"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Roman">
    <w:altName w:val="Times New Roman"/>
    <w:charset w:val="00"/>
    <w:family w:val="auto"/>
    <w:pitch w:val="variable"/>
    <w:sig w:usb0="00000003" w:usb1="00000000" w:usb2="00000000" w:usb3="00000000" w:csb0="00000001" w:csb1="00000000"/>
  </w:font>
  <w:font w:name="Times-Bold">
    <w:altName w:val="Times New Roman"/>
    <w:charset w:val="00"/>
    <w:family w:val="auto"/>
    <w:pitch w:val="variable"/>
    <w:sig w:usb0="00000003" w:usb1="00000000" w:usb2="00000000" w:usb3="00000000" w:csb0="00000001" w:csb1="00000000"/>
  </w:font>
  <w:font w:name="Times-Italic">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A20"/>
    <w:rsid w:val="00013285"/>
    <w:rsid w:val="00026AC9"/>
    <w:rsid w:val="00085974"/>
    <w:rsid w:val="00126408"/>
    <w:rsid w:val="00165581"/>
    <w:rsid w:val="00177719"/>
    <w:rsid w:val="00216DD1"/>
    <w:rsid w:val="002E72E1"/>
    <w:rsid w:val="002F0BFE"/>
    <w:rsid w:val="00304ED3"/>
    <w:rsid w:val="00341A83"/>
    <w:rsid w:val="003F3A32"/>
    <w:rsid w:val="003F4821"/>
    <w:rsid w:val="00436238"/>
    <w:rsid w:val="004874E2"/>
    <w:rsid w:val="00565B00"/>
    <w:rsid w:val="00585604"/>
    <w:rsid w:val="005A51A1"/>
    <w:rsid w:val="00641A2D"/>
    <w:rsid w:val="006C47D6"/>
    <w:rsid w:val="00786818"/>
    <w:rsid w:val="00811260"/>
    <w:rsid w:val="0087059F"/>
    <w:rsid w:val="008A2428"/>
    <w:rsid w:val="00927E23"/>
    <w:rsid w:val="00942461"/>
    <w:rsid w:val="00973494"/>
    <w:rsid w:val="00994C96"/>
    <w:rsid w:val="00A16498"/>
    <w:rsid w:val="00A23471"/>
    <w:rsid w:val="00A57EDE"/>
    <w:rsid w:val="00A77BF8"/>
    <w:rsid w:val="00A97418"/>
    <w:rsid w:val="00AD2CDD"/>
    <w:rsid w:val="00B25879"/>
    <w:rsid w:val="00BF391B"/>
    <w:rsid w:val="00C25CF2"/>
    <w:rsid w:val="00CD4518"/>
    <w:rsid w:val="00CD5B81"/>
    <w:rsid w:val="00CF6322"/>
    <w:rsid w:val="00D8482E"/>
    <w:rsid w:val="00DD4624"/>
    <w:rsid w:val="00DD6127"/>
    <w:rsid w:val="00DE40F3"/>
    <w:rsid w:val="00EC46A5"/>
    <w:rsid w:val="00F13DD2"/>
    <w:rsid w:val="00F17A20"/>
    <w:rsid w:val="00F20F48"/>
    <w:rsid w:val="00F426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E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ResumeFR">
    <w:name w:val="21-Resume FR"/>
    <w:basedOn w:val="Normal"/>
    <w:uiPriority w:val="99"/>
    <w:rsid w:val="00F17A20"/>
    <w:pPr>
      <w:widowControl w:val="0"/>
      <w:autoSpaceDE w:val="0"/>
      <w:autoSpaceDN w:val="0"/>
      <w:adjustRightInd w:val="0"/>
      <w:spacing w:line="210" w:lineRule="atLeast"/>
      <w:jc w:val="both"/>
      <w:textAlignment w:val="center"/>
    </w:pPr>
    <w:rPr>
      <w:rFonts w:ascii="Times-Roman" w:hAnsi="Times-Roman" w:cs="Times-Roman"/>
      <w:color w:val="000000"/>
      <w:sz w:val="20"/>
      <w:szCs w:val="20"/>
    </w:rPr>
  </w:style>
  <w:style w:type="character" w:customStyle="1" w:styleId="03-Gras">
    <w:name w:val="03-Gras"/>
    <w:uiPriority w:val="99"/>
    <w:rsid w:val="00F17A20"/>
    <w:rPr>
      <w:rFonts w:ascii="Times-Bold" w:hAnsi="Times-Bold" w:cs="Times-Bold"/>
      <w:b/>
      <w:bCs/>
      <w:color w:val="000000"/>
      <w:spacing w:val="0"/>
      <w:w w:val="100"/>
      <w:position w:val="0"/>
      <w:sz w:val="20"/>
      <w:szCs w:val="20"/>
      <w:u w:val="none"/>
      <w:vertAlign w:val="baseline"/>
      <w:em w:val="none"/>
      <w:lang w:val="fr-FR"/>
    </w:rPr>
  </w:style>
  <w:style w:type="paragraph" w:customStyle="1" w:styleId="04-Fonction">
    <w:name w:val="04-Fonction"/>
    <w:basedOn w:val="Normal"/>
    <w:uiPriority w:val="99"/>
    <w:rsid w:val="00F17A20"/>
    <w:pPr>
      <w:widowControl w:val="0"/>
      <w:autoSpaceDE w:val="0"/>
      <w:autoSpaceDN w:val="0"/>
      <w:adjustRightInd w:val="0"/>
      <w:spacing w:before="170" w:line="200" w:lineRule="atLeast"/>
      <w:textAlignment w:val="center"/>
    </w:pPr>
    <w:rPr>
      <w:rFonts w:ascii="Times-Roman" w:hAnsi="Times-Roman" w:cs="Times-Roman"/>
      <w:color w:val="000000"/>
      <w:sz w:val="20"/>
      <w:szCs w:val="20"/>
    </w:rPr>
  </w:style>
  <w:style w:type="character" w:customStyle="1" w:styleId="02-Ital">
    <w:name w:val="02-Ital"/>
    <w:uiPriority w:val="99"/>
    <w:rsid w:val="00F17A20"/>
    <w:rPr>
      <w:rFonts w:ascii="Times-Italic" w:hAnsi="Times-Italic" w:cs="Times-Italic"/>
      <w:i/>
      <w:iCs/>
      <w:color w:val="000000"/>
      <w:spacing w:val="0"/>
      <w:w w:val="100"/>
      <w:position w:val="0"/>
      <w:sz w:val="20"/>
      <w:szCs w:val="20"/>
      <w:u w:val="none"/>
      <w:vertAlign w:val="baseline"/>
      <w:em w:val="none"/>
      <w:lang w:val="fr-FR"/>
    </w:rPr>
  </w:style>
  <w:style w:type="paragraph" w:styleId="NormalWeb">
    <w:name w:val="Normal (Web)"/>
    <w:basedOn w:val="Normal"/>
    <w:uiPriority w:val="99"/>
    <w:semiHidden/>
    <w:unhideWhenUsed/>
    <w:rsid w:val="005A51A1"/>
    <w:pPr>
      <w:spacing w:before="100" w:beforeAutospacing="1" w:after="100" w:afterAutospacing="1"/>
    </w:pPr>
    <w:rPr>
      <w:rFonts w:ascii="Calibri" w:hAnsi="Calibri" w:cs="Times New Roman"/>
      <w:color w:val="000000"/>
      <w:sz w:val="22"/>
      <w:szCs w:val="22"/>
    </w:rPr>
  </w:style>
  <w:style w:type="paragraph" w:styleId="Textedebulles">
    <w:name w:val="Balloon Text"/>
    <w:basedOn w:val="Normal"/>
    <w:link w:val="TextedebullesCar"/>
    <w:uiPriority w:val="99"/>
    <w:semiHidden/>
    <w:unhideWhenUsed/>
    <w:rsid w:val="006C47D6"/>
    <w:rPr>
      <w:rFonts w:ascii="Tahoma" w:hAnsi="Tahoma" w:cs="Tahoma"/>
      <w:sz w:val="16"/>
      <w:szCs w:val="16"/>
    </w:rPr>
  </w:style>
  <w:style w:type="character" w:customStyle="1" w:styleId="TextedebullesCar">
    <w:name w:val="Texte de bulles Car"/>
    <w:basedOn w:val="Policepardfaut"/>
    <w:link w:val="Textedebulles"/>
    <w:uiPriority w:val="99"/>
    <w:semiHidden/>
    <w:rsid w:val="006C47D6"/>
    <w:rPr>
      <w:rFonts w:ascii="Tahoma" w:hAnsi="Tahoma" w:cs="Tahoma"/>
      <w:sz w:val="16"/>
      <w:szCs w:val="16"/>
    </w:rPr>
  </w:style>
  <w:style w:type="character" w:customStyle="1" w:styleId="style35">
    <w:name w:val="style35"/>
    <w:basedOn w:val="Policepardfaut"/>
    <w:rsid w:val="00BF39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21-ResumeFR">
    <w:name w:val="21-Resume FR"/>
    <w:basedOn w:val="Normal"/>
    <w:uiPriority w:val="99"/>
    <w:rsid w:val="00F17A20"/>
    <w:pPr>
      <w:widowControl w:val="0"/>
      <w:autoSpaceDE w:val="0"/>
      <w:autoSpaceDN w:val="0"/>
      <w:adjustRightInd w:val="0"/>
      <w:spacing w:line="210" w:lineRule="atLeast"/>
      <w:jc w:val="both"/>
      <w:textAlignment w:val="center"/>
    </w:pPr>
    <w:rPr>
      <w:rFonts w:ascii="Times-Roman" w:hAnsi="Times-Roman" w:cs="Times-Roman"/>
      <w:color w:val="000000"/>
      <w:sz w:val="20"/>
      <w:szCs w:val="20"/>
    </w:rPr>
  </w:style>
  <w:style w:type="character" w:customStyle="1" w:styleId="03-Gras">
    <w:name w:val="03-Gras"/>
    <w:uiPriority w:val="99"/>
    <w:rsid w:val="00F17A20"/>
    <w:rPr>
      <w:rFonts w:ascii="Times-Bold" w:hAnsi="Times-Bold" w:cs="Times-Bold"/>
      <w:b/>
      <w:bCs/>
      <w:color w:val="000000"/>
      <w:spacing w:val="0"/>
      <w:w w:val="100"/>
      <w:position w:val="0"/>
      <w:sz w:val="20"/>
      <w:szCs w:val="20"/>
      <w:u w:val="none"/>
      <w:vertAlign w:val="baseline"/>
      <w:em w:val="none"/>
      <w:lang w:val="fr-FR"/>
    </w:rPr>
  </w:style>
  <w:style w:type="paragraph" w:customStyle="1" w:styleId="04-Fonction">
    <w:name w:val="04-Fonction"/>
    <w:basedOn w:val="Normal"/>
    <w:uiPriority w:val="99"/>
    <w:rsid w:val="00F17A20"/>
    <w:pPr>
      <w:widowControl w:val="0"/>
      <w:autoSpaceDE w:val="0"/>
      <w:autoSpaceDN w:val="0"/>
      <w:adjustRightInd w:val="0"/>
      <w:spacing w:before="170" w:line="200" w:lineRule="atLeast"/>
      <w:textAlignment w:val="center"/>
    </w:pPr>
    <w:rPr>
      <w:rFonts w:ascii="Times-Roman" w:hAnsi="Times-Roman" w:cs="Times-Roman"/>
      <w:color w:val="000000"/>
      <w:sz w:val="20"/>
      <w:szCs w:val="20"/>
    </w:rPr>
  </w:style>
  <w:style w:type="character" w:customStyle="1" w:styleId="02-Ital">
    <w:name w:val="02-Ital"/>
    <w:uiPriority w:val="99"/>
    <w:rsid w:val="00F17A20"/>
    <w:rPr>
      <w:rFonts w:ascii="Times-Italic" w:hAnsi="Times-Italic" w:cs="Times-Italic"/>
      <w:i/>
      <w:iCs/>
      <w:color w:val="000000"/>
      <w:spacing w:val="0"/>
      <w:w w:val="100"/>
      <w:position w:val="0"/>
      <w:sz w:val="20"/>
      <w:szCs w:val="20"/>
      <w:u w:val="none"/>
      <w:vertAlign w:val="baseline"/>
      <w:em w:val="none"/>
      <w:lang w:val="fr-FR"/>
    </w:rPr>
  </w:style>
  <w:style w:type="paragraph" w:styleId="NormalWeb">
    <w:name w:val="Normal (Web)"/>
    <w:basedOn w:val="Normal"/>
    <w:uiPriority w:val="99"/>
    <w:semiHidden/>
    <w:unhideWhenUsed/>
    <w:rsid w:val="005A51A1"/>
    <w:pPr>
      <w:spacing w:before="100" w:beforeAutospacing="1" w:after="100" w:afterAutospacing="1"/>
    </w:pPr>
    <w:rPr>
      <w:rFonts w:ascii="Calibri" w:hAnsi="Calibri" w:cs="Times New Roman"/>
      <w:color w:val="000000"/>
      <w:sz w:val="22"/>
      <w:szCs w:val="22"/>
    </w:rPr>
  </w:style>
  <w:style w:type="paragraph" w:styleId="Textedebulles">
    <w:name w:val="Balloon Text"/>
    <w:basedOn w:val="Normal"/>
    <w:link w:val="TextedebullesCar"/>
    <w:uiPriority w:val="99"/>
    <w:semiHidden/>
    <w:unhideWhenUsed/>
    <w:rsid w:val="006C47D6"/>
    <w:rPr>
      <w:rFonts w:ascii="Tahoma" w:hAnsi="Tahoma" w:cs="Tahoma"/>
      <w:sz w:val="16"/>
      <w:szCs w:val="16"/>
    </w:rPr>
  </w:style>
  <w:style w:type="character" w:customStyle="1" w:styleId="TextedebullesCar">
    <w:name w:val="Texte de bulles Car"/>
    <w:basedOn w:val="Policepardfaut"/>
    <w:link w:val="Textedebulles"/>
    <w:uiPriority w:val="99"/>
    <w:semiHidden/>
    <w:rsid w:val="006C47D6"/>
    <w:rPr>
      <w:rFonts w:ascii="Tahoma" w:hAnsi="Tahoma" w:cs="Tahoma"/>
      <w:sz w:val="16"/>
      <w:szCs w:val="16"/>
    </w:rPr>
  </w:style>
  <w:style w:type="character" w:customStyle="1" w:styleId="style35">
    <w:name w:val="style35"/>
    <w:basedOn w:val="Policepardfaut"/>
    <w:rsid w:val="00BF3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12966">
      <w:bodyDiv w:val="1"/>
      <w:marLeft w:val="0"/>
      <w:marRight w:val="0"/>
      <w:marTop w:val="0"/>
      <w:marBottom w:val="0"/>
      <w:divBdr>
        <w:top w:val="none" w:sz="0" w:space="0" w:color="auto"/>
        <w:left w:val="none" w:sz="0" w:space="0" w:color="auto"/>
        <w:bottom w:val="none" w:sz="0" w:space="0" w:color="auto"/>
        <w:right w:val="none" w:sz="0" w:space="0" w:color="auto"/>
      </w:divBdr>
    </w:div>
    <w:div w:id="13450168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xx2x.mj.am/link/xx2x/x06mk1o7/a3/POMtQIg-4v1lByh5-Fb_qg/aHR0cDovL3h4MngubWouYW0vbGluay94eDJ4L3gwNm1oNnVvL2EzL2hTRVh1TmM2WXQ5Ym9KV19tVGhUWkEvYUhSMGNEb3ZMM2QzZHk1aGJtRmxMWEpsZG5WbExtTnZiUzlzWVMxa2IyTjFiV1Z1ZEdGMGFXOXVMWE5qYVdWdWRHbG1hWEYxWlMxMGIzVnpMV3hsY3kxdUxXUnBjM0J2Ym1saWJHVnpMdw" TargetMode="External"/><Relationship Id="rId13" Type="http://schemas.openxmlformats.org/officeDocument/2006/relationships/hyperlink" Target="https://www.dropbox.com/s/8bhsgk20g2pi5c4/CATALOGUE%20ANAE%20FORMATIONS%202018%20V2.pdf?dl=0" TargetMode="External"/><Relationship Id="rId18" Type="http://schemas.openxmlformats.org/officeDocument/2006/relationships/hyperlink" Target="http://xx2x.mj.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xx2x.mj.am/link/xx2x/x06mk1o7/a4/jhP4wVo6K0Lu8c1zE3hfsg/aHR0cDovL3h4MngubWouYW0vbGluay94eDJ4L3gwNm1oNnVvL2E0L2RCZldIYVhlaDY0eG1wWnBGQVBPblEvYUhSMGNITTZMeTkzZDNjdVlXNWhaUzF5WlhaMVpTNWpiMjB2WVdKdmJtNWxiV1Z1ZEMweU1ERTNMdw" TargetMode="External"/><Relationship Id="rId12" Type="http://schemas.openxmlformats.org/officeDocument/2006/relationships/hyperlink" Target="http://xx2x.mj.am/link/xx2x/x06mk1o7/a7/pydSuuy-qEA1ONfi7dhe0g/aHR0cDovL3h4MngubWouYW0vbGluay94eDJ4L3gwNm1oNnVvL2E3L2cyMEY4NnlydjE4TERST0hlcnhuV2cvYUhSMGNEb3ZMM2g0TW5ndWJXb3VZVzB2YkdsdWF5OTRlREo0TDJremJtZDNiV3d2T1M5ZkxVaHBiVVkxVEhOdFUycExUMWx4YkZoek5EWjNMMkZJVWpCalJHOTJURE5rTTJSNU5XaGliVVpzVEZoS2JHUnVWbXhNYlU1MllsTTVhR0p0Um14TVYxcDJZMjB4YUdSSGJIWmliazEyV20wNWVXSlhSakJoVnpsMVkza3hjR0p0VW5Ca2JXeHJaRmRXYzJKSFZucE1kdw" TargetMode="External"/><Relationship Id="rId17" Type="http://schemas.openxmlformats.org/officeDocument/2006/relationships/image" Target="media/image2.jpeg"/><Relationship Id="rId2" Type="http://schemas.microsoft.com/office/2007/relationships/stylesWithEffects" Target="stylesWithEffects.xml"/><Relationship Id="rId16" Type="http://schemas.openxmlformats.org/officeDocument/2006/relationships/hyperlink" Target="http://xx2x.mj.am/link/xx2x/x06mk1o7/a9/RLVIRhYoMGNizzNn--9GMg/aHR0cDovL3h4MngubWouYW0vbGluay94eDJ4L3gwNm1oNnVvL2E5L3ZWSW5oQWlnUndoV0JpREpVdGI1T0EvYUhSMGNEb3ZMM2g0TW5ndWJXb3VZVzB2YkdsdWF5OTRlREo0TDNoNGJtZHBaelUxTDJFeE1TOHdZbkpJUjBkTWVqbDNkRzVFTURkNmQyODFMWGxSTDJGSVVqQmpSRzkyVEROb05FMXVaM1ZpVjI5MVdWY3dkbUpIYkhWaGVUazBaVVJLTkV3eWEzcGliV1F6WWxkM2RrMVVSWFphVnpnMFRtcG9WMWRWTlhOV2JXUXdWVVJrUjJOc1FYaGxiWGgwVVZNNWFGTkdTWGRaTUZKMlpHdDNlbHBFVG10bFZGWnZXVzB4UjJKRmVGbFRiWGhyWW14YWMxUkhNVTlrYlVwVVQxZG9hV0pWV25OVVJtUmhaRzFPZEUxWGFHdFNNbmd5V1cwMVRtUm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xx2x.mj.am/link/xx2x/x06mk1o7/a3/POMtQIg-4v1lByh5-Fb_qg/aHR0cDovL3h4MngubWouYW0vbGluay94eDJ4L3gwNm1oNnVvL2EzL2hTRVh1TmM2WXQ5Ym9KV19tVGhUWkEvYUhSMGNEb3ZMM2QzZHk1aGJtRmxMWEpsZG5WbExtTnZiUzlzWVMxa2IyTjFiV1Z1ZEdGMGFXOXVMWE5qYVdWdWRHbG1hWEYxWlMxMGIzVnpMV3hsY3kxdUxXUnBjM0J2Ym1saWJHVnpMdw" TargetMode="External"/><Relationship Id="rId11" Type="http://schemas.openxmlformats.org/officeDocument/2006/relationships/hyperlink" Target="http://xx2x.mj.am/link/xx2x/x06mk1o7/a6/nJyTfLcgQeinx0egN8TiHw/aHR0cDovL3h4MngubWouYW0vbGluay94eDJ4L3gwNm1oNnVvL2E2L09BX25YZHFFemh4S2VsQlRXZURUUHcvYUhSMGNEb3ZMM2g0TW5ndWJXb3VZVzB2YkdsdWF5OTRlREo0TDJremJtZDNiV3d2T0M5Q1RGVXlhbnBKVkhnM05UZEJkVTVYYlRCMmNYaG5MMkZJVWpCalJHOTJURE5rTTJSNU5XaGliVVpzVEZoS2JHUnVWbXhNYlU1MllsTTVjMWxUTVd0aU1rNHhZbGRXZFdSSFJqQmhWemwxVEZoT2FtRlhWblZrUjJ4dFlWaEdNVnBUTVRCaU0xWjZURmQ0YkdONU1YVk1WMUp3WXpOQ2RtSnRiR2xpUjFaNlRIYw" TargetMode="External"/><Relationship Id="rId5" Type="http://schemas.openxmlformats.org/officeDocument/2006/relationships/image" Target="media/image1.png"/><Relationship Id="rId15" Type="http://schemas.openxmlformats.org/officeDocument/2006/relationships/hyperlink" Target="mailto:inscription@anae-formations.com" TargetMode="External"/><Relationship Id="rId10" Type="http://schemas.openxmlformats.org/officeDocument/2006/relationships/hyperlink" Target="http://xx2x.mj.am/link/xx2x/x06mk1o7/a5/hJWApac7P4LndqNyW1t0UQ/aHR0cDovL3h4MngubWouYW0vbGluay94eDJ4L3gwNm1oNnVvL2E1L1g5dnZVT2s0ZDFnUzFkMVZLUW9VaUEvYUhSMGNITTZMeTkzZDNjdVlXNWhaUzF5WlhaMVpTNWpiMjB2WVdKdmJtNWxiV1Z1ZEMweU1ERTNMdw"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xx2x.mj.am/link/xx2x/x06mk1o7/a4/jhP4wVo6K0Lu8c1zE3hfsg/aHR0cDovL3h4MngubWouYW0vbGluay94eDJ4L3gwNm1oNnVvL2E0L2RCZldIYVhlaDY0eG1wWnBGQVBPblEvYUhSMGNITTZMeTkzZDNjdVlXNWhaUzF5WlhaMVpTNWpiMjB2WVdKdmJtNWxiV1Z1ZEMweU1ERTNMdw" TargetMode="External"/><Relationship Id="rId14" Type="http://schemas.openxmlformats.org/officeDocument/2006/relationships/hyperlink" Target="http://xx2x.mj.am/link/xx2x/x06mk1o7/a8/v9YFWCNHM6C1ImLXmm1nVA/aHR0cDovL3h4MngubWouYW0vbGluay94eDJ4L3gwNm1oNnVvL2E4L0MyQ05IbU9IdjNQX0V0SjIwNU1HNVEvYUhSMGNEb3ZMM2g0TW5ndWJXb3VZVzB2YkdsdWF5OTRlREo0TDNoNGJtZHBaelUxTDJFeE1DOXFNekJWWTFsclQybGFTWGxDUTAxMkxWZGhiMXBSTDJGSVVqQmpSRzkyVEROa00yUjVOV2hpYlVac1RGaEtiR1J1Vm14TWJVNTJZbE01YUdKdFJteE1WMXAyWTIweGFHUkhiSFppYmsxM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1804</Words>
  <Characters>9928</Characters>
  <Application>Microsoft Office Word</Application>
  <DocSecurity>0</DocSecurity>
  <Lines>82</Lines>
  <Paragraphs>23</Paragraphs>
  <ScaleCrop>false</ScaleCrop>
  <Company>Microsoft</Company>
  <LinksUpToDate>false</LinksUpToDate>
  <CharactersWithSpaces>11709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Catherine</cp:lastModifiedBy>
  <cp:revision>26</cp:revision>
  <dcterms:created xsi:type="dcterms:W3CDTF">2017-12-11T14:23:00Z</dcterms:created>
  <dcterms:modified xsi:type="dcterms:W3CDTF">2017-12-12T09:09:00Z</dcterms:modified>
</cp:coreProperties>
</file>